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D96ED" w14:textId="77777777" w:rsidR="00FE01D8" w:rsidRDefault="00FE01D8">
      <w:pPr>
        <w:pStyle w:val="Textoindependiente"/>
        <w:ind w:left="0"/>
        <w:rPr>
          <w:rFonts w:ascii="Times New Roman"/>
        </w:rPr>
      </w:pPr>
    </w:p>
    <w:p w14:paraId="1323C589" w14:textId="77777777" w:rsidR="00FE01D8" w:rsidRDefault="00FE01D8">
      <w:pPr>
        <w:pStyle w:val="Textoindependiente"/>
        <w:spacing w:before="33"/>
        <w:ind w:left="0"/>
        <w:rPr>
          <w:rFonts w:ascii="Times New Roman"/>
        </w:rPr>
      </w:pPr>
    </w:p>
    <w:p w14:paraId="5E5DDE87" w14:textId="50EC9B64" w:rsidR="00FE01D8" w:rsidRDefault="00000000">
      <w:pPr>
        <w:pStyle w:val="Ttulo1"/>
        <w:ind w:left="340"/>
        <w:jc w:val="center"/>
      </w:pPr>
      <w:r>
        <w:t>FIDUCIARIA</w:t>
      </w:r>
      <w:r>
        <w:rPr>
          <w:spacing w:val="-9"/>
        </w:rPr>
        <w:t xml:space="preserve"> </w:t>
      </w:r>
      <w:r>
        <w:t>COLOMBIANA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COMERCIO</w:t>
      </w:r>
      <w:r>
        <w:rPr>
          <w:spacing w:val="-6"/>
        </w:rPr>
        <w:t xml:space="preserve"> </w:t>
      </w:r>
      <w:r>
        <w:rPr>
          <w:spacing w:val="-2"/>
        </w:rPr>
        <w:t>EXTERIOR</w:t>
      </w:r>
      <w:r w:rsidR="00F3765A">
        <w:rPr>
          <w:spacing w:val="-2"/>
        </w:rPr>
        <w:t xml:space="preserve"> S.A. FIDUCOLDEX</w:t>
      </w:r>
    </w:p>
    <w:p w14:paraId="522EBF01" w14:textId="757E9964" w:rsidR="00FE01D8" w:rsidRDefault="00000000">
      <w:pPr>
        <w:spacing w:before="201" w:line="427" w:lineRule="auto"/>
        <w:ind w:left="340" w:right="341"/>
        <w:jc w:val="center"/>
        <w:rPr>
          <w:rFonts w:ascii="Arial"/>
          <w:b/>
        </w:rPr>
      </w:pPr>
      <w:r>
        <w:rPr>
          <w:rFonts w:ascii="Arial"/>
          <w:b/>
        </w:rPr>
        <w:t>AN</w:t>
      </w:r>
      <w:r w:rsidR="00F3765A">
        <w:rPr>
          <w:rFonts w:ascii="Arial"/>
          <w:b/>
        </w:rPr>
        <w:t>Á</w:t>
      </w:r>
      <w:r>
        <w:rPr>
          <w:rFonts w:ascii="Arial"/>
          <w:b/>
        </w:rPr>
        <w:t>LISIS</w:t>
      </w:r>
      <w:r>
        <w:rPr>
          <w:rFonts w:ascii="Arial"/>
          <w:b/>
          <w:spacing w:val="-7"/>
        </w:rPr>
        <w:t xml:space="preserve"> </w:t>
      </w:r>
      <w:r>
        <w:rPr>
          <w:rFonts w:ascii="Arial"/>
          <w:b/>
        </w:rPr>
        <w:t>DE</w:t>
      </w:r>
      <w:r>
        <w:rPr>
          <w:rFonts w:ascii="Arial"/>
          <w:b/>
          <w:spacing w:val="-5"/>
        </w:rPr>
        <w:t xml:space="preserve"> </w:t>
      </w:r>
      <w:r>
        <w:rPr>
          <w:rFonts w:ascii="Arial"/>
          <w:b/>
        </w:rPr>
        <w:t>LAS</w:t>
      </w:r>
      <w:r>
        <w:rPr>
          <w:rFonts w:ascii="Arial"/>
          <w:b/>
          <w:spacing w:val="-5"/>
        </w:rPr>
        <w:t xml:space="preserve"> </w:t>
      </w:r>
      <w:r>
        <w:rPr>
          <w:rFonts w:ascii="Arial"/>
          <w:b/>
        </w:rPr>
        <w:t>PRINCIPALES</w:t>
      </w:r>
      <w:r>
        <w:rPr>
          <w:rFonts w:ascii="Arial"/>
          <w:b/>
          <w:spacing w:val="-5"/>
        </w:rPr>
        <w:t xml:space="preserve"> </w:t>
      </w:r>
      <w:r>
        <w:rPr>
          <w:rFonts w:ascii="Arial"/>
          <w:b/>
        </w:rPr>
        <w:t>VARIACIONES</w:t>
      </w:r>
      <w:r>
        <w:rPr>
          <w:rFonts w:ascii="Arial"/>
          <w:b/>
          <w:spacing w:val="-5"/>
        </w:rPr>
        <w:t xml:space="preserve"> </w:t>
      </w:r>
      <w:r>
        <w:rPr>
          <w:rFonts w:ascii="Arial"/>
          <w:b/>
        </w:rPr>
        <w:t>DE</w:t>
      </w:r>
      <w:r>
        <w:rPr>
          <w:rFonts w:ascii="Arial"/>
          <w:b/>
          <w:spacing w:val="-5"/>
        </w:rPr>
        <w:t xml:space="preserve"> </w:t>
      </w:r>
      <w:r>
        <w:rPr>
          <w:rFonts w:ascii="Arial"/>
          <w:b/>
        </w:rPr>
        <w:t>LOS</w:t>
      </w:r>
      <w:r>
        <w:rPr>
          <w:rFonts w:ascii="Arial"/>
          <w:b/>
          <w:spacing w:val="-5"/>
        </w:rPr>
        <w:t xml:space="preserve"> </w:t>
      </w:r>
      <w:r>
        <w:rPr>
          <w:rFonts w:ascii="Arial"/>
          <w:b/>
        </w:rPr>
        <w:t>ESTADOS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FINANCIEROS A 31 DE DICIEMBRE DE 2025 Y 2024</w:t>
      </w:r>
    </w:p>
    <w:p w14:paraId="66625AA9" w14:textId="77777777" w:rsidR="00FE01D8" w:rsidRDefault="00000000">
      <w:pPr>
        <w:pStyle w:val="Textoindependiente"/>
        <w:spacing w:before="42"/>
        <w:ind w:left="344" w:right="341"/>
        <w:jc w:val="center"/>
        <w:rPr>
          <w:rFonts w:ascii="Arial"/>
          <w:b/>
        </w:rPr>
      </w:pPr>
      <w:r>
        <w:rPr>
          <w:rFonts w:ascii="Arial"/>
          <w:b/>
        </w:rPr>
        <w:t>(</w:t>
      </w:r>
      <w:r>
        <w:t>Cifras</w:t>
      </w:r>
      <w:r>
        <w:rPr>
          <w:spacing w:val="-5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miles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pesos</w:t>
      </w:r>
      <w:r>
        <w:rPr>
          <w:rFonts w:ascii="Arial"/>
          <w:b/>
          <w:spacing w:val="-2"/>
        </w:rPr>
        <w:t>)</w:t>
      </w:r>
    </w:p>
    <w:p w14:paraId="663CE24E" w14:textId="4C6CB33C" w:rsidR="00FE01D8" w:rsidRDefault="00000000">
      <w:pPr>
        <w:pStyle w:val="Textoindependiente"/>
        <w:spacing w:before="235" w:line="280" w:lineRule="auto"/>
        <w:ind w:right="258"/>
        <w:jc w:val="both"/>
      </w:pPr>
      <w:r>
        <w:t>Este</w:t>
      </w:r>
      <w:r>
        <w:rPr>
          <w:spacing w:val="-3"/>
        </w:rPr>
        <w:t xml:space="preserve"> </w:t>
      </w:r>
      <w:r>
        <w:t>documento</w:t>
      </w:r>
      <w:r>
        <w:rPr>
          <w:spacing w:val="-5"/>
        </w:rPr>
        <w:t xml:space="preserve"> </w:t>
      </w:r>
      <w:r>
        <w:t>muestra</w:t>
      </w:r>
      <w:r>
        <w:rPr>
          <w:spacing w:val="-5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análisis de</w:t>
      </w:r>
      <w:r>
        <w:rPr>
          <w:spacing w:val="-5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variaciones</w:t>
      </w:r>
      <w:r>
        <w:rPr>
          <w:spacing w:val="-3"/>
        </w:rPr>
        <w:t xml:space="preserve"> </w:t>
      </w:r>
      <w:r>
        <w:t>más</w:t>
      </w:r>
      <w:r>
        <w:rPr>
          <w:spacing w:val="-5"/>
        </w:rPr>
        <w:t xml:space="preserve"> </w:t>
      </w:r>
      <w:r>
        <w:t>representativas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Estados Financieros de Fiducoldex, comparando los periodos diciembre 2025 y diciembre 2024.</w:t>
      </w:r>
    </w:p>
    <w:p w14:paraId="48C2AD2B" w14:textId="576E9F60" w:rsidR="00FE01D8" w:rsidRDefault="00F3765A">
      <w:pPr>
        <w:pStyle w:val="Textoindependiente"/>
        <w:spacing w:before="191" w:line="278" w:lineRule="auto"/>
        <w:ind w:right="256"/>
        <w:jc w:val="both"/>
      </w:pPr>
      <w:r>
        <w:t>Se</w:t>
      </w:r>
      <w:r w:rsidR="00000000">
        <w:t xml:space="preserve"> resalta la participación de la fiduciaria en los consorcios que a continuación se relacionan</w:t>
      </w:r>
      <w:r>
        <w:t>:</w:t>
      </w:r>
      <w:r w:rsidR="00000000">
        <w:t xml:space="preserve"> </w:t>
      </w:r>
    </w:p>
    <w:p w14:paraId="6F7A147F" w14:textId="64082AEE" w:rsidR="00FE01D8" w:rsidRDefault="00000000" w:rsidP="00F3765A">
      <w:pPr>
        <w:pStyle w:val="Textoindependiente"/>
        <w:numPr>
          <w:ilvl w:val="0"/>
          <w:numId w:val="1"/>
        </w:numPr>
        <w:spacing w:before="192" w:line="278" w:lineRule="auto"/>
        <w:ind w:right="256"/>
        <w:jc w:val="both"/>
      </w:pPr>
      <w:r>
        <w:t>Consorcios</w:t>
      </w:r>
      <w:r>
        <w:rPr>
          <w:spacing w:val="-15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etapa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liquidación:</w:t>
      </w:r>
      <w:r>
        <w:rPr>
          <w:spacing w:val="-13"/>
        </w:rPr>
        <w:t xml:space="preserve"> </w:t>
      </w:r>
      <w:proofErr w:type="spellStart"/>
      <w:r>
        <w:t>Fosyga</w:t>
      </w:r>
      <w:proofErr w:type="spellEnd"/>
      <w:r>
        <w:t>,</w:t>
      </w:r>
      <w:r>
        <w:rPr>
          <w:spacing w:val="-16"/>
        </w:rPr>
        <w:t xml:space="preserve"> </w:t>
      </w:r>
      <w:r>
        <w:t>Sayp,</w:t>
      </w:r>
      <w:r>
        <w:rPr>
          <w:spacing w:val="-13"/>
        </w:rPr>
        <w:t xml:space="preserve"> </w:t>
      </w:r>
      <w:r>
        <w:t>Pensiones Cundinamarca</w:t>
      </w:r>
      <w:r>
        <w:rPr>
          <w:spacing w:val="-15"/>
        </w:rPr>
        <w:t xml:space="preserve"> </w:t>
      </w:r>
      <w:r>
        <w:t>2012,</w:t>
      </w:r>
      <w:r>
        <w:rPr>
          <w:spacing w:val="-14"/>
        </w:rPr>
        <w:t xml:space="preserve"> </w:t>
      </w:r>
      <w:r>
        <w:t>Colombia</w:t>
      </w:r>
      <w:r>
        <w:rPr>
          <w:spacing w:val="-16"/>
        </w:rPr>
        <w:t xml:space="preserve"> </w:t>
      </w:r>
      <w:r>
        <w:t>Mayor</w:t>
      </w:r>
      <w:r>
        <w:rPr>
          <w:spacing w:val="-13"/>
        </w:rPr>
        <w:t xml:space="preserve"> </w:t>
      </w:r>
      <w:r>
        <w:t>2013,</w:t>
      </w:r>
      <w:r>
        <w:rPr>
          <w:spacing w:val="-14"/>
        </w:rPr>
        <w:t xml:space="preserve"> </w:t>
      </w:r>
      <w:r>
        <w:t>Fondo</w:t>
      </w:r>
      <w:r>
        <w:rPr>
          <w:spacing w:val="-13"/>
        </w:rPr>
        <w:t xml:space="preserve"> </w:t>
      </w:r>
      <w:r>
        <w:t>Colombia</w:t>
      </w:r>
      <w:r>
        <w:rPr>
          <w:spacing w:val="-16"/>
        </w:rPr>
        <w:t xml:space="preserve"> </w:t>
      </w:r>
      <w:r>
        <w:t>en</w:t>
      </w:r>
      <w:r>
        <w:rPr>
          <w:spacing w:val="-13"/>
        </w:rPr>
        <w:t xml:space="preserve"> </w:t>
      </w:r>
      <w:r>
        <w:t>Paz</w:t>
      </w:r>
      <w:r>
        <w:rPr>
          <w:spacing w:val="-15"/>
        </w:rPr>
        <w:t xml:space="preserve"> </w:t>
      </w:r>
      <w:r>
        <w:t>2018,</w:t>
      </w:r>
      <w:r>
        <w:rPr>
          <w:spacing w:val="-14"/>
        </w:rPr>
        <w:t xml:space="preserve"> </w:t>
      </w:r>
      <w:r>
        <w:t>Coldexpo</w:t>
      </w:r>
      <w:r>
        <w:rPr>
          <w:spacing w:val="-14"/>
        </w:rPr>
        <w:t xml:space="preserve"> </w:t>
      </w:r>
      <w:r>
        <w:t>2020, Consorcio Confiar Fonpet, Ecopetrol Pacc y Fondo de Inversión para la Paz.</w:t>
      </w:r>
    </w:p>
    <w:p w14:paraId="39715016" w14:textId="4283B925" w:rsidR="00FE01D8" w:rsidRDefault="00A43643" w:rsidP="00A43643">
      <w:pPr>
        <w:pStyle w:val="Textoindependiente"/>
        <w:numPr>
          <w:ilvl w:val="0"/>
          <w:numId w:val="1"/>
        </w:numPr>
        <w:spacing w:before="193" w:line="276" w:lineRule="auto"/>
        <w:ind w:right="255"/>
        <w:jc w:val="both"/>
      </w:pPr>
      <w:r>
        <w:t xml:space="preserve">Consorcios </w:t>
      </w:r>
      <w:proofErr w:type="gramStart"/>
      <w:r>
        <w:t>Vigentes:</w:t>
      </w:r>
      <w:r w:rsidR="00000000">
        <w:t>:</w:t>
      </w:r>
      <w:proofErr w:type="gramEnd"/>
      <w:r w:rsidR="00000000">
        <w:rPr>
          <w:spacing w:val="-13"/>
        </w:rPr>
        <w:t xml:space="preserve"> </w:t>
      </w:r>
      <w:r w:rsidR="00000000">
        <w:t>Ecopetrol</w:t>
      </w:r>
      <w:r w:rsidR="00000000">
        <w:rPr>
          <w:spacing w:val="-16"/>
        </w:rPr>
        <w:t xml:space="preserve"> </w:t>
      </w:r>
      <w:r w:rsidR="00000000">
        <w:t>Pacc</w:t>
      </w:r>
      <w:r w:rsidR="00000000">
        <w:rPr>
          <w:spacing w:val="-11"/>
        </w:rPr>
        <w:t xml:space="preserve"> </w:t>
      </w:r>
      <w:r w:rsidR="00000000">
        <w:t>2021,</w:t>
      </w:r>
      <w:r w:rsidR="00000000">
        <w:rPr>
          <w:spacing w:val="-13"/>
        </w:rPr>
        <w:t xml:space="preserve"> </w:t>
      </w:r>
      <w:r w:rsidR="00000000">
        <w:t>Fondo</w:t>
      </w:r>
      <w:r w:rsidR="00000000">
        <w:rPr>
          <w:spacing w:val="-12"/>
        </w:rPr>
        <w:t xml:space="preserve"> </w:t>
      </w:r>
      <w:r w:rsidR="00000000">
        <w:t>Colombia</w:t>
      </w:r>
      <w:r w:rsidR="00000000">
        <w:rPr>
          <w:spacing w:val="-12"/>
        </w:rPr>
        <w:t xml:space="preserve"> </w:t>
      </w:r>
      <w:r w:rsidR="00000000">
        <w:t>en</w:t>
      </w:r>
      <w:r w:rsidR="00000000">
        <w:rPr>
          <w:spacing w:val="-13"/>
        </w:rPr>
        <w:t xml:space="preserve"> </w:t>
      </w:r>
      <w:r w:rsidR="00000000">
        <w:t>Paz</w:t>
      </w:r>
      <w:r w:rsidR="00000000">
        <w:rPr>
          <w:spacing w:val="-12"/>
        </w:rPr>
        <w:t xml:space="preserve"> </w:t>
      </w:r>
      <w:r w:rsidR="00000000">
        <w:t>2019, Fondo</w:t>
      </w:r>
      <w:r w:rsidR="00000000">
        <w:rPr>
          <w:spacing w:val="-10"/>
        </w:rPr>
        <w:t xml:space="preserve"> </w:t>
      </w:r>
      <w:r w:rsidR="00000000">
        <w:t>Dian</w:t>
      </w:r>
      <w:r w:rsidR="00000000">
        <w:rPr>
          <w:spacing w:val="-10"/>
        </w:rPr>
        <w:t xml:space="preserve"> </w:t>
      </w:r>
      <w:r w:rsidR="00000000">
        <w:t>2020,</w:t>
      </w:r>
      <w:r w:rsidR="00000000">
        <w:rPr>
          <w:spacing w:val="-11"/>
        </w:rPr>
        <w:t xml:space="preserve"> </w:t>
      </w:r>
      <w:r w:rsidR="00000000">
        <w:t>Ecopetrol</w:t>
      </w:r>
      <w:r w:rsidR="00000000">
        <w:rPr>
          <w:spacing w:val="-11"/>
        </w:rPr>
        <w:t xml:space="preserve"> </w:t>
      </w:r>
      <w:r w:rsidR="00000000">
        <w:t>Pacc</w:t>
      </w:r>
      <w:r w:rsidR="00000000">
        <w:rPr>
          <w:spacing w:val="-12"/>
        </w:rPr>
        <w:t xml:space="preserve"> </w:t>
      </w:r>
      <w:r w:rsidR="00000000">
        <w:t>2021,</w:t>
      </w:r>
      <w:r w:rsidR="00000000">
        <w:rPr>
          <w:spacing w:val="-8"/>
        </w:rPr>
        <w:t xml:space="preserve"> </w:t>
      </w:r>
      <w:r w:rsidR="00000000">
        <w:t>Fondo</w:t>
      </w:r>
      <w:r w:rsidR="00000000">
        <w:rPr>
          <w:spacing w:val="-12"/>
        </w:rPr>
        <w:t xml:space="preserve"> </w:t>
      </w:r>
      <w:r w:rsidR="00000000">
        <w:t>Victimas</w:t>
      </w:r>
      <w:r w:rsidR="00000000">
        <w:rPr>
          <w:spacing w:val="-10"/>
        </w:rPr>
        <w:t xml:space="preserve"> </w:t>
      </w:r>
      <w:r w:rsidR="00000000">
        <w:t>2021,</w:t>
      </w:r>
      <w:r w:rsidR="00000000">
        <w:rPr>
          <w:spacing w:val="-11"/>
        </w:rPr>
        <w:t xml:space="preserve"> </w:t>
      </w:r>
      <w:r w:rsidR="00000000">
        <w:t>Faia</w:t>
      </w:r>
      <w:r w:rsidR="00000000">
        <w:rPr>
          <w:spacing w:val="-10"/>
        </w:rPr>
        <w:t xml:space="preserve"> </w:t>
      </w:r>
      <w:r w:rsidR="00000000">
        <w:t>2021,</w:t>
      </w:r>
      <w:r w:rsidR="00000000">
        <w:rPr>
          <w:spacing w:val="-13"/>
        </w:rPr>
        <w:t xml:space="preserve"> </w:t>
      </w:r>
      <w:r w:rsidR="00000000">
        <w:t>Consorcio</w:t>
      </w:r>
      <w:r w:rsidR="00000000">
        <w:rPr>
          <w:spacing w:val="-10"/>
        </w:rPr>
        <w:t xml:space="preserve"> </w:t>
      </w:r>
      <w:r w:rsidR="00000000">
        <w:t xml:space="preserve">Fondo de Riesgos Laborales 2023, Consorcio Fondo Min Igualdad y Equidad y Consorcio PC </w:t>
      </w:r>
      <w:proofErr w:type="spellStart"/>
      <w:r w:rsidR="00000000">
        <w:t>Foncontin</w:t>
      </w:r>
      <w:proofErr w:type="spellEnd"/>
      <w:r w:rsidR="00000000">
        <w:t xml:space="preserve"> 2023, </w:t>
      </w:r>
      <w:r>
        <w:t xml:space="preserve">Consorcio Coldexpo 2024, </w:t>
      </w:r>
      <w:r w:rsidR="00000000">
        <w:t>Fondo de Riesgos Laborales 2025 y Consorcio Fonpet</w:t>
      </w:r>
      <w:r>
        <w:t xml:space="preserve"> PAC</w:t>
      </w:r>
      <w:r w:rsidR="00000000">
        <w:t xml:space="preserve"> 2025.</w:t>
      </w:r>
    </w:p>
    <w:p w14:paraId="16381D0A" w14:textId="60D3A4B4" w:rsidR="00F3765A" w:rsidRDefault="00A43643" w:rsidP="00F3765A">
      <w:pPr>
        <w:pStyle w:val="Textoindependiente"/>
        <w:spacing w:before="191" w:line="278" w:lineRule="auto"/>
        <w:ind w:right="256"/>
        <w:jc w:val="both"/>
      </w:pPr>
      <w:r>
        <w:t>De los anteriores, Fiducoldex funge como representante de los Consorcios Confiar Fonpet en liquidación y Coldexpo 2024.</w:t>
      </w:r>
    </w:p>
    <w:p w14:paraId="743AFE3B" w14:textId="77777777" w:rsidR="00F3765A" w:rsidRDefault="00F3765A">
      <w:pPr>
        <w:pStyle w:val="Textoindependiente"/>
        <w:ind w:left="0"/>
      </w:pPr>
    </w:p>
    <w:p w14:paraId="48A10361" w14:textId="77777777" w:rsidR="00FE01D8" w:rsidRDefault="00000000">
      <w:pPr>
        <w:pStyle w:val="Ttulo1"/>
        <w:spacing w:before="129" w:line="465" w:lineRule="auto"/>
        <w:ind w:right="737"/>
      </w:pPr>
      <w:r>
        <w:t>ESTADO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SITUACIÓN</w:t>
      </w:r>
      <w:r>
        <w:rPr>
          <w:spacing w:val="-5"/>
        </w:rPr>
        <w:t xml:space="preserve"> </w:t>
      </w:r>
      <w:r>
        <w:t>FINANCIERA</w:t>
      </w:r>
      <w:r>
        <w:rPr>
          <w:spacing w:val="-3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31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DICIEMBRE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2025 COMPARATIVO DICIEMBRE 2025 Y DICIEMBRE 2024</w:t>
      </w:r>
    </w:p>
    <w:p w14:paraId="2590F75F" w14:textId="77777777" w:rsidR="00FE01D8" w:rsidRDefault="00000000">
      <w:pPr>
        <w:pStyle w:val="Textoindependiente"/>
        <w:spacing w:line="278" w:lineRule="auto"/>
        <w:ind w:right="257"/>
        <w:jc w:val="both"/>
      </w:pPr>
      <w:r>
        <w:t>Al término del ejercicio 2025, Fiducoldex evidenció una situación financiera estable y coherente con el desempeño operativo y económico alcanzado durante el periodo, mostrando una administración eficiente de sus activos, obligaciones y patrimonio.</w:t>
      </w:r>
    </w:p>
    <w:p w14:paraId="456ECFDA" w14:textId="77777777" w:rsidR="00FE01D8" w:rsidRDefault="00000000">
      <w:pPr>
        <w:pStyle w:val="Textoindependiente"/>
        <w:spacing w:before="193" w:line="276" w:lineRule="auto"/>
        <w:ind w:right="258"/>
        <w:jc w:val="both"/>
      </w:pPr>
      <w:r>
        <w:t>Los</w:t>
      </w:r>
      <w:r>
        <w:rPr>
          <w:spacing w:val="-10"/>
        </w:rPr>
        <w:t xml:space="preserve"> </w:t>
      </w:r>
      <w:r>
        <w:t>activos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Fiduciaria</w:t>
      </w:r>
      <w:r>
        <w:rPr>
          <w:spacing w:val="-10"/>
        </w:rPr>
        <w:t xml:space="preserve"> </w:t>
      </w:r>
      <w:r>
        <w:t>mostraron</w:t>
      </w:r>
      <w:r>
        <w:rPr>
          <w:spacing w:val="-14"/>
        </w:rPr>
        <w:t xml:space="preserve"> </w:t>
      </w:r>
      <w:r>
        <w:t>una</w:t>
      </w:r>
      <w:r>
        <w:rPr>
          <w:spacing w:val="-13"/>
        </w:rPr>
        <w:t xml:space="preserve"> </w:t>
      </w:r>
      <w:r>
        <w:t>evolución</w:t>
      </w:r>
      <w:r>
        <w:rPr>
          <w:spacing w:val="-11"/>
        </w:rPr>
        <w:t xml:space="preserve"> </w:t>
      </w:r>
      <w:r>
        <w:t>positiva,</w:t>
      </w:r>
      <w:r>
        <w:rPr>
          <w:spacing w:val="-12"/>
        </w:rPr>
        <w:t xml:space="preserve"> </w:t>
      </w:r>
      <w:r>
        <w:t>impulsada</w:t>
      </w:r>
      <w:r>
        <w:rPr>
          <w:spacing w:val="-13"/>
        </w:rPr>
        <w:t xml:space="preserve"> </w:t>
      </w:r>
      <w:r>
        <w:t>principalmente</w:t>
      </w:r>
      <w:r>
        <w:rPr>
          <w:spacing w:val="-11"/>
        </w:rPr>
        <w:t xml:space="preserve"> </w:t>
      </w:r>
      <w:r>
        <w:t>por el aumento de los recursos bajo administración y el crecimiento de las cuentas vinculadas a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actividad</w:t>
      </w:r>
      <w:r>
        <w:rPr>
          <w:spacing w:val="-7"/>
        </w:rPr>
        <w:t xml:space="preserve"> </w:t>
      </w:r>
      <w:r>
        <w:t>fiduciaria,</w:t>
      </w:r>
      <w:r>
        <w:rPr>
          <w:spacing w:val="-6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concordancia</w:t>
      </w:r>
      <w:r>
        <w:rPr>
          <w:spacing w:val="-5"/>
        </w:rPr>
        <w:t xml:space="preserve"> </w:t>
      </w:r>
      <w:r>
        <w:t>con</w:t>
      </w:r>
      <w:r>
        <w:rPr>
          <w:spacing w:val="-8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mayor</w:t>
      </w:r>
      <w:r>
        <w:rPr>
          <w:spacing w:val="-6"/>
        </w:rPr>
        <w:t xml:space="preserve"> </w:t>
      </w:r>
      <w:r>
        <w:t>dinamismo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las</w:t>
      </w:r>
      <w:r>
        <w:rPr>
          <w:spacing w:val="-10"/>
        </w:rPr>
        <w:t xml:space="preserve"> </w:t>
      </w:r>
      <w:r>
        <w:t>distintas</w:t>
      </w:r>
      <w:r>
        <w:rPr>
          <w:spacing w:val="-4"/>
        </w:rPr>
        <w:t xml:space="preserve"> </w:t>
      </w:r>
      <w:r>
        <w:t>líneas</w:t>
      </w:r>
      <w:r>
        <w:rPr>
          <w:spacing w:val="-7"/>
        </w:rPr>
        <w:t xml:space="preserve"> </w:t>
      </w:r>
      <w:r>
        <w:t>de negocio y el incremento de los ingresos, particularmente en los Fondos de Inversión Colectiva y en los negocios fiduciarios.</w:t>
      </w:r>
    </w:p>
    <w:p w14:paraId="4728BDF4" w14:textId="77777777" w:rsidR="00FE01D8" w:rsidRDefault="00FE01D8">
      <w:pPr>
        <w:pStyle w:val="Textoindependiente"/>
        <w:spacing w:line="276" w:lineRule="auto"/>
        <w:jc w:val="both"/>
        <w:sectPr w:rsidR="00FE01D8">
          <w:headerReference w:type="default" r:id="rId7"/>
          <w:type w:val="continuous"/>
          <w:pgSz w:w="12240" w:h="15840"/>
          <w:pgMar w:top="1820" w:right="1440" w:bottom="280" w:left="1440" w:header="454" w:footer="0" w:gutter="0"/>
          <w:pgNumType w:start="1"/>
          <w:cols w:space="720"/>
        </w:sectPr>
      </w:pPr>
    </w:p>
    <w:p w14:paraId="010C18BB" w14:textId="77777777" w:rsidR="00FE01D8" w:rsidRDefault="00000000">
      <w:pPr>
        <w:pStyle w:val="Textoindependiente"/>
        <w:spacing w:before="83" w:line="276" w:lineRule="auto"/>
        <w:ind w:right="259"/>
        <w:jc w:val="both"/>
      </w:pPr>
      <w:r>
        <w:lastRenderedPageBreak/>
        <w:t>Asimismo, se destaca una estructura de activos equilibrada, que fortalece la liquidez y respalda la capacidad de la organización para atender oportunamente sus compromisos operativos y contractuales.</w:t>
      </w:r>
    </w:p>
    <w:p w14:paraId="29B79BCC" w14:textId="77777777" w:rsidR="00FE01D8" w:rsidRDefault="00FE01D8">
      <w:pPr>
        <w:pStyle w:val="Textoindependiente"/>
        <w:spacing w:before="76"/>
        <w:ind w:left="0"/>
      </w:pPr>
    </w:p>
    <w:p w14:paraId="03E0AEAA" w14:textId="77777777" w:rsidR="00FE01D8" w:rsidRDefault="00000000">
      <w:pPr>
        <w:pStyle w:val="Textoindependiente"/>
        <w:spacing w:line="276" w:lineRule="auto"/>
        <w:ind w:right="255"/>
        <w:jc w:val="both"/>
      </w:pPr>
      <w:r>
        <w:t>En línea con</w:t>
      </w:r>
      <w:r>
        <w:rPr>
          <w:spacing w:val="-2"/>
        </w:rPr>
        <w:t xml:space="preserve"> </w:t>
      </w:r>
      <w:r>
        <w:t>lo anterior, los indicadores</w:t>
      </w:r>
      <w:r>
        <w:rPr>
          <w:spacing w:val="-1"/>
        </w:rPr>
        <w:t xml:space="preserve"> </w:t>
      </w:r>
      <w:r>
        <w:t>financieros reflejan</w:t>
      </w:r>
      <w:r>
        <w:rPr>
          <w:spacing w:val="-2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mejora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la estructura de liquidez y en la solidez patrimonial de la entidad. La razón corriente pasó de 6,82 en 2024 a 7,52 en 2025, incrementándose en 0,70 puntos, lo que evidencia una mayor proporción del activo corriente frente al pasivo corriente. Desde un análisis vertical, este comportamiento</w:t>
      </w:r>
      <w:r>
        <w:rPr>
          <w:spacing w:val="-6"/>
        </w:rPr>
        <w:t xml:space="preserve"> </w:t>
      </w:r>
      <w:r>
        <w:t>indica</w:t>
      </w:r>
      <w:r>
        <w:rPr>
          <w:spacing w:val="-6"/>
        </w:rPr>
        <w:t xml:space="preserve"> </w:t>
      </w:r>
      <w:r>
        <w:t>un</w:t>
      </w:r>
      <w:r>
        <w:rPr>
          <w:spacing w:val="-6"/>
        </w:rPr>
        <w:t xml:space="preserve"> </w:t>
      </w:r>
      <w:r>
        <w:t>fortalecimiento</w:t>
      </w:r>
      <w:r>
        <w:rPr>
          <w:spacing w:val="-7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capacidad</w:t>
      </w:r>
      <w:r>
        <w:rPr>
          <w:spacing w:val="-6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cubrir</w:t>
      </w:r>
      <w:r>
        <w:rPr>
          <w:spacing w:val="-7"/>
        </w:rPr>
        <w:t xml:space="preserve"> </w:t>
      </w:r>
      <w:r>
        <w:t>obligaciones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corto plazo y una estructura de liquidez más robusta.</w:t>
      </w:r>
    </w:p>
    <w:p w14:paraId="5D996328" w14:textId="77777777" w:rsidR="00FE01D8" w:rsidRDefault="00FE01D8">
      <w:pPr>
        <w:pStyle w:val="Textoindependiente"/>
        <w:spacing w:before="39"/>
        <w:ind w:left="0"/>
      </w:pPr>
    </w:p>
    <w:p w14:paraId="607DE699" w14:textId="77777777" w:rsidR="00FE01D8" w:rsidRDefault="00000000">
      <w:pPr>
        <w:pStyle w:val="Textoindependiente"/>
        <w:spacing w:before="1" w:line="276" w:lineRule="auto"/>
        <w:ind w:right="257"/>
        <w:jc w:val="both"/>
      </w:pPr>
      <w:r>
        <w:t>Por</w:t>
      </w:r>
      <w:r>
        <w:rPr>
          <w:spacing w:val="-1"/>
        </w:rPr>
        <w:t xml:space="preserve"> </w:t>
      </w:r>
      <w:r>
        <w:t>su</w:t>
      </w:r>
      <w:r>
        <w:rPr>
          <w:spacing w:val="-2"/>
        </w:rPr>
        <w:t xml:space="preserve"> </w:t>
      </w:r>
      <w:r>
        <w:t>parte,</w:t>
      </w:r>
      <w:r>
        <w:rPr>
          <w:spacing w:val="-1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indicador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solidez</w:t>
      </w:r>
      <w:r>
        <w:rPr>
          <w:spacing w:val="-2"/>
        </w:rPr>
        <w:t xml:space="preserve"> </w:t>
      </w:r>
      <w:r>
        <w:t>aumentó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6,38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7,14, mostrando</w:t>
      </w:r>
      <w:r>
        <w:rPr>
          <w:spacing w:val="-2"/>
        </w:rPr>
        <w:t xml:space="preserve"> </w:t>
      </w:r>
      <w:r>
        <w:t>que el</w:t>
      </w:r>
      <w:r>
        <w:rPr>
          <w:spacing w:val="-3"/>
        </w:rPr>
        <w:t xml:space="preserve"> </w:t>
      </w:r>
      <w:r>
        <w:t>activo</w:t>
      </w:r>
      <w:r>
        <w:rPr>
          <w:spacing w:val="-4"/>
        </w:rPr>
        <w:t xml:space="preserve"> </w:t>
      </w:r>
      <w:r>
        <w:t>total creció en mayor proporción que el pasivo total. Este resultado refuerza la estructura financiera</w:t>
      </w:r>
      <w:r>
        <w:rPr>
          <w:spacing w:val="-7"/>
        </w:rPr>
        <w:t xml:space="preserve"> </w:t>
      </w:r>
      <w:r>
        <w:t>global,</w:t>
      </w:r>
      <w:r>
        <w:rPr>
          <w:spacing w:val="-6"/>
        </w:rPr>
        <w:t xml:space="preserve"> </w:t>
      </w:r>
      <w:r>
        <w:t>disminuye</w:t>
      </w:r>
      <w:r>
        <w:rPr>
          <w:spacing w:val="-8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nivel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riesgo</w:t>
      </w:r>
      <w:r>
        <w:rPr>
          <w:spacing w:val="-7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acreedores</w:t>
      </w:r>
      <w:r>
        <w:rPr>
          <w:spacing w:val="-7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consolida</w:t>
      </w:r>
      <w:r>
        <w:rPr>
          <w:spacing w:val="-7"/>
        </w:rPr>
        <w:t xml:space="preserve"> </w:t>
      </w:r>
      <w:r>
        <w:t>una</w:t>
      </w:r>
      <w:r>
        <w:rPr>
          <w:spacing w:val="-7"/>
        </w:rPr>
        <w:t xml:space="preserve"> </w:t>
      </w:r>
      <w:r>
        <w:t>posición patrimonial más sólida al cierre del ejercicio 2025</w:t>
      </w:r>
    </w:p>
    <w:p w14:paraId="59045917" w14:textId="77777777" w:rsidR="00FE01D8" w:rsidRDefault="00FE01D8">
      <w:pPr>
        <w:pStyle w:val="Textoindependiente"/>
        <w:spacing w:before="126"/>
        <w:ind w:left="0"/>
      </w:pPr>
    </w:p>
    <w:p w14:paraId="16DABB92" w14:textId="77777777" w:rsidR="00FE01D8" w:rsidRDefault="00000000">
      <w:pPr>
        <w:pStyle w:val="Textoindependiente"/>
        <w:spacing w:line="276" w:lineRule="auto"/>
        <w:ind w:right="252"/>
        <w:jc w:val="both"/>
      </w:pPr>
      <w:r>
        <w:t>Los pasivos se mantuvieron en rangos</w:t>
      </w:r>
      <w:r>
        <w:rPr>
          <w:spacing w:val="-2"/>
        </w:rPr>
        <w:t xml:space="preserve"> </w:t>
      </w:r>
      <w:r>
        <w:t>adecuados y coherentes con la dinámica propia de la operación fiduciaria. Las principales variaciones obedecen al comportamiento de las cuentas</w:t>
      </w:r>
      <w:r>
        <w:rPr>
          <w:spacing w:val="-5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pagar</w:t>
      </w:r>
      <w:r>
        <w:rPr>
          <w:spacing w:val="-4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demás</w:t>
      </w:r>
      <w:r>
        <w:rPr>
          <w:spacing w:val="-3"/>
        </w:rPr>
        <w:t xml:space="preserve"> </w:t>
      </w:r>
      <w:r>
        <w:t>obligaciones</w:t>
      </w:r>
      <w:r>
        <w:rPr>
          <w:spacing w:val="-5"/>
        </w:rPr>
        <w:t xml:space="preserve"> </w:t>
      </w:r>
      <w:r>
        <w:t>propias</w:t>
      </w:r>
      <w:r>
        <w:rPr>
          <w:spacing w:val="-7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giro</w:t>
      </w:r>
      <w:r>
        <w:rPr>
          <w:spacing w:val="-5"/>
        </w:rPr>
        <w:t xml:space="preserve"> </w:t>
      </w:r>
      <w:r>
        <w:t>ordinario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negocios, sin</w:t>
      </w:r>
      <w:r>
        <w:rPr>
          <w:spacing w:val="-3"/>
        </w:rPr>
        <w:t xml:space="preserve"> </w:t>
      </w:r>
      <w:r>
        <w:t>que se presenten incrementos que afecten la estabilidad financiera ni la capacidad de cumplimiento de la Fiducoldex.</w:t>
      </w:r>
    </w:p>
    <w:p w14:paraId="605A9F50" w14:textId="77777777" w:rsidR="00FE01D8" w:rsidRDefault="00FE01D8">
      <w:pPr>
        <w:pStyle w:val="Textoindependiente"/>
        <w:spacing w:before="37"/>
        <w:ind w:left="0"/>
      </w:pPr>
    </w:p>
    <w:p w14:paraId="0F9EA0A6" w14:textId="77777777" w:rsidR="00FE01D8" w:rsidRDefault="00000000">
      <w:pPr>
        <w:pStyle w:val="Textoindependiente"/>
        <w:spacing w:before="1" w:line="276" w:lineRule="auto"/>
        <w:ind w:right="257"/>
        <w:jc w:val="both"/>
      </w:pPr>
      <w:r>
        <w:t>En este sentido, la composición del pasivo evidencia una administración responsable y prudente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obligaciones,</w:t>
      </w:r>
      <w:r>
        <w:rPr>
          <w:spacing w:val="-4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concordancia</w:t>
      </w:r>
      <w:r>
        <w:rPr>
          <w:spacing w:val="-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políticas</w:t>
      </w:r>
      <w:r>
        <w:rPr>
          <w:spacing w:val="-5"/>
        </w:rPr>
        <w:t xml:space="preserve"> </w:t>
      </w:r>
      <w:r>
        <w:t>internas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control</w:t>
      </w:r>
      <w:r>
        <w:rPr>
          <w:spacing w:val="-6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t>el marco normativo aplicable al sector fiduciario.</w:t>
      </w:r>
    </w:p>
    <w:p w14:paraId="5385B8F3" w14:textId="77777777" w:rsidR="00FE01D8" w:rsidRDefault="00FE01D8">
      <w:pPr>
        <w:pStyle w:val="Textoindependiente"/>
        <w:spacing w:before="38"/>
        <w:ind w:left="0"/>
      </w:pPr>
    </w:p>
    <w:p w14:paraId="4C152867" w14:textId="77777777" w:rsidR="00FE01D8" w:rsidRDefault="00000000">
      <w:pPr>
        <w:pStyle w:val="Textoindependiente"/>
        <w:spacing w:line="276" w:lineRule="auto"/>
        <w:ind w:right="255"/>
        <w:jc w:val="both"/>
      </w:pPr>
      <w:r>
        <w:t>Durante la vigencia 2025, el patrimonio evidenció un crecimiento significativo, explicado principalmente</w:t>
      </w:r>
      <w:r>
        <w:rPr>
          <w:spacing w:val="-5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resultados</w:t>
      </w:r>
      <w:r>
        <w:rPr>
          <w:spacing w:val="-5"/>
        </w:rPr>
        <w:t xml:space="preserve"> </w:t>
      </w:r>
      <w:r>
        <w:t>favorables</w:t>
      </w:r>
      <w:r>
        <w:rPr>
          <w:spacing w:val="-5"/>
        </w:rPr>
        <w:t xml:space="preserve"> </w:t>
      </w:r>
      <w:r>
        <w:t>obtenidos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ejercicio.</w:t>
      </w:r>
      <w:r>
        <w:rPr>
          <w:spacing w:val="-4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utilidad</w:t>
      </w:r>
      <w:r>
        <w:rPr>
          <w:spacing w:val="-3"/>
        </w:rPr>
        <w:t xml:space="preserve"> </w:t>
      </w:r>
      <w:r>
        <w:t>generada permitió robustecer la estructura patrimonial de Fiducoldex, ampliando su capacidad para acompañar la expansión de la operación y el desarrollo de nuevos negocios.</w:t>
      </w:r>
    </w:p>
    <w:p w14:paraId="62BBE75C" w14:textId="77777777" w:rsidR="00FE01D8" w:rsidRDefault="00FE01D8">
      <w:pPr>
        <w:pStyle w:val="Textoindependiente"/>
        <w:spacing w:before="37"/>
        <w:ind w:left="0"/>
      </w:pPr>
    </w:p>
    <w:p w14:paraId="5DA79C7F" w14:textId="77777777" w:rsidR="00FE01D8" w:rsidRDefault="00000000">
      <w:pPr>
        <w:pStyle w:val="Textoindependiente"/>
        <w:spacing w:before="1" w:line="276" w:lineRule="auto"/>
        <w:ind w:right="257"/>
        <w:jc w:val="both"/>
      </w:pPr>
      <w:r>
        <w:t>De manera coherente con este desempeño, la rentabilidad del patrimonio se incrementó del 12,25% al 14,50%, con un aumento de 2,25 puntos porcentuales. Este resultado demuestra una mayor eficiencia en la generación de utilidades a partir de los recursos propios,</w:t>
      </w:r>
      <w:r>
        <w:rPr>
          <w:spacing w:val="-3"/>
        </w:rPr>
        <w:t xml:space="preserve"> </w:t>
      </w:r>
      <w:r>
        <w:t>reflejando</w:t>
      </w:r>
      <w:r>
        <w:rPr>
          <w:spacing w:val="-4"/>
        </w:rPr>
        <w:t xml:space="preserve"> </w:t>
      </w:r>
      <w:r>
        <w:t>una</w:t>
      </w:r>
      <w:r>
        <w:rPr>
          <w:spacing w:val="-6"/>
        </w:rPr>
        <w:t xml:space="preserve"> </w:t>
      </w:r>
      <w:r>
        <w:t>gestión</w:t>
      </w:r>
      <w:r>
        <w:rPr>
          <w:spacing w:val="-4"/>
        </w:rPr>
        <w:t xml:space="preserve"> </w:t>
      </w:r>
      <w:r>
        <w:t>financiera</w:t>
      </w:r>
      <w:r>
        <w:rPr>
          <w:spacing w:val="-6"/>
        </w:rPr>
        <w:t xml:space="preserve"> </w:t>
      </w:r>
      <w:r>
        <w:t>más</w:t>
      </w:r>
      <w:r>
        <w:rPr>
          <w:spacing w:val="-4"/>
        </w:rPr>
        <w:t xml:space="preserve"> </w:t>
      </w:r>
      <w:r>
        <w:t>efectiva</w:t>
      </w:r>
      <w:r>
        <w:rPr>
          <w:spacing w:val="-4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una</w:t>
      </w:r>
      <w:r>
        <w:rPr>
          <w:spacing w:val="-6"/>
        </w:rPr>
        <w:t xml:space="preserve"> </w:t>
      </w:r>
      <w:r>
        <w:t>mayor</w:t>
      </w:r>
      <w:r>
        <w:rPr>
          <w:spacing w:val="-5"/>
        </w:rPr>
        <w:t xml:space="preserve"> </w:t>
      </w:r>
      <w:r>
        <w:t>capacidad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creación de valor.</w:t>
      </w:r>
    </w:p>
    <w:p w14:paraId="022B9972" w14:textId="77777777" w:rsidR="00FE01D8" w:rsidRDefault="00FE01D8">
      <w:pPr>
        <w:pStyle w:val="Textoindependiente"/>
        <w:spacing w:line="276" w:lineRule="auto"/>
        <w:jc w:val="both"/>
        <w:sectPr w:rsidR="00FE01D8">
          <w:pgSz w:w="12240" w:h="15840"/>
          <w:pgMar w:top="1820" w:right="1440" w:bottom="280" w:left="1440" w:header="454" w:footer="0" w:gutter="0"/>
          <w:cols w:space="720"/>
        </w:sectPr>
      </w:pPr>
    </w:p>
    <w:p w14:paraId="5DAA4DB4" w14:textId="77777777" w:rsidR="00FE01D8" w:rsidRDefault="00FE01D8">
      <w:pPr>
        <w:pStyle w:val="Textoindependiente"/>
        <w:ind w:left="0"/>
        <w:rPr>
          <w:sz w:val="20"/>
        </w:rPr>
      </w:pPr>
    </w:p>
    <w:p w14:paraId="0F4B9200" w14:textId="77777777" w:rsidR="00FE01D8" w:rsidRDefault="00000000" w:rsidP="0007000E">
      <w:pPr>
        <w:pStyle w:val="Textoindependiente"/>
        <w:ind w:right="255"/>
        <w:jc w:val="both"/>
      </w:pPr>
      <w:r>
        <w:t>En síntesis, los</w:t>
      </w:r>
      <w:r w:rsidRPr="0007000E">
        <w:t xml:space="preserve"> </w:t>
      </w:r>
      <w:r>
        <w:t>resultados financieros</w:t>
      </w:r>
      <w:r w:rsidRPr="0007000E">
        <w:t xml:space="preserve"> </w:t>
      </w:r>
      <w:r>
        <w:t>correspondientes a la vigencia 2025</w:t>
      </w:r>
      <w:r w:rsidRPr="0007000E">
        <w:t xml:space="preserve"> </w:t>
      </w:r>
      <w:r>
        <w:t>evidencian</w:t>
      </w:r>
      <w:r w:rsidRPr="0007000E">
        <w:t xml:space="preserve"> </w:t>
      </w:r>
      <w:r>
        <w:t>una administración eficiente y prudente, coherente con los lineamientos estratégicos de Fiducoldex. Se observa una estructura de ingresos más diversificada y equilibrada, una adecuada gestión presupuestal y una posición financiera sólida que brinda respaldo para asumir con estabilidad y confianza los desafíos de las próximas vigencias.</w:t>
      </w:r>
    </w:p>
    <w:p w14:paraId="612CBBE7" w14:textId="77777777" w:rsidR="00FE01D8" w:rsidRDefault="00FE01D8" w:rsidP="0007000E">
      <w:pPr>
        <w:pStyle w:val="Textoindependiente"/>
        <w:spacing w:before="129"/>
        <w:ind w:left="0"/>
      </w:pPr>
    </w:p>
    <w:p w14:paraId="0C3165B6" w14:textId="77777777" w:rsidR="00FE01D8" w:rsidRDefault="00000000">
      <w:pPr>
        <w:pStyle w:val="Ttulo1"/>
        <w:spacing w:line="465" w:lineRule="auto"/>
        <w:ind w:right="737"/>
      </w:pPr>
      <w:r>
        <w:t>ESTADO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RESULTADOS</w:t>
      </w:r>
      <w:r>
        <w:rPr>
          <w:spacing w:val="-5"/>
        </w:rPr>
        <w:t xml:space="preserve"> </w:t>
      </w:r>
      <w:r>
        <w:t>INTEGRALES</w:t>
      </w:r>
      <w:r>
        <w:rPr>
          <w:spacing w:val="-8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DICIEMBRE</w:t>
      </w:r>
      <w:r>
        <w:rPr>
          <w:spacing w:val="-5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2025 COMPARATIVO DICIEMBRE 2025 Y DICIEMBRE 2024</w:t>
      </w:r>
    </w:p>
    <w:p w14:paraId="5E17B3F5" w14:textId="77777777" w:rsidR="00FE01D8" w:rsidRDefault="00FE01D8">
      <w:pPr>
        <w:pStyle w:val="Textoindependiente"/>
        <w:spacing w:before="125"/>
        <w:ind w:left="0"/>
        <w:rPr>
          <w:rFonts w:ascii="Arial"/>
          <w:b/>
        </w:rPr>
      </w:pPr>
    </w:p>
    <w:p w14:paraId="4E5FAAB9" w14:textId="77777777" w:rsidR="00FE01D8" w:rsidRDefault="00000000" w:rsidP="0007000E">
      <w:pPr>
        <w:pStyle w:val="Textoindependiente"/>
      </w:pPr>
      <w:r>
        <w:t>Como</w:t>
      </w:r>
      <w:r>
        <w:rPr>
          <w:spacing w:val="33"/>
        </w:rPr>
        <w:t xml:space="preserve"> </w:t>
      </w:r>
      <w:r>
        <w:t>resultado</w:t>
      </w:r>
      <w:r>
        <w:rPr>
          <w:spacing w:val="33"/>
        </w:rPr>
        <w:t xml:space="preserve"> </w:t>
      </w:r>
      <w:r>
        <w:t>del</w:t>
      </w:r>
      <w:r>
        <w:rPr>
          <w:spacing w:val="33"/>
        </w:rPr>
        <w:t xml:space="preserve"> </w:t>
      </w:r>
      <w:r>
        <w:t>crecimiento</w:t>
      </w:r>
      <w:r>
        <w:rPr>
          <w:spacing w:val="33"/>
        </w:rPr>
        <w:t xml:space="preserve"> </w:t>
      </w:r>
      <w:r>
        <w:t>sostenido</w:t>
      </w:r>
      <w:r>
        <w:rPr>
          <w:spacing w:val="33"/>
        </w:rPr>
        <w:t xml:space="preserve"> </w:t>
      </w:r>
      <w:r>
        <w:t>de</w:t>
      </w:r>
      <w:r>
        <w:rPr>
          <w:spacing w:val="33"/>
        </w:rPr>
        <w:t xml:space="preserve"> </w:t>
      </w:r>
      <w:r>
        <w:t>los</w:t>
      </w:r>
      <w:r>
        <w:rPr>
          <w:spacing w:val="36"/>
        </w:rPr>
        <w:t xml:space="preserve"> </w:t>
      </w:r>
      <w:r>
        <w:t>ingresos</w:t>
      </w:r>
      <w:r>
        <w:rPr>
          <w:spacing w:val="34"/>
        </w:rPr>
        <w:t xml:space="preserve"> </w:t>
      </w:r>
      <w:r>
        <w:t>y</w:t>
      </w:r>
      <w:r>
        <w:rPr>
          <w:spacing w:val="34"/>
        </w:rPr>
        <w:t xml:space="preserve"> </w:t>
      </w:r>
      <w:r>
        <w:t>del</w:t>
      </w:r>
      <w:r>
        <w:rPr>
          <w:spacing w:val="35"/>
        </w:rPr>
        <w:t xml:space="preserve"> </w:t>
      </w:r>
      <w:r>
        <w:t>control</w:t>
      </w:r>
      <w:r>
        <w:rPr>
          <w:spacing w:val="35"/>
        </w:rPr>
        <w:t xml:space="preserve"> </w:t>
      </w:r>
      <w:r>
        <w:t>efectivo</w:t>
      </w:r>
      <w:r>
        <w:rPr>
          <w:spacing w:val="33"/>
        </w:rPr>
        <w:t xml:space="preserve"> </w:t>
      </w:r>
      <w:r>
        <w:t>de</w:t>
      </w:r>
      <w:r>
        <w:rPr>
          <w:spacing w:val="33"/>
        </w:rPr>
        <w:t xml:space="preserve"> </w:t>
      </w:r>
      <w:r>
        <w:t>los gastos,</w:t>
      </w:r>
      <w:r>
        <w:rPr>
          <w:spacing w:val="17"/>
        </w:rPr>
        <w:t xml:space="preserve"> </w:t>
      </w:r>
      <w:r>
        <w:t>la</w:t>
      </w:r>
      <w:r>
        <w:rPr>
          <w:spacing w:val="20"/>
        </w:rPr>
        <w:t xml:space="preserve"> </w:t>
      </w:r>
      <w:r>
        <w:t>utilidad</w:t>
      </w:r>
      <w:r>
        <w:rPr>
          <w:spacing w:val="21"/>
        </w:rPr>
        <w:t xml:space="preserve"> </w:t>
      </w:r>
      <w:r>
        <w:t>operativa</w:t>
      </w:r>
      <w:r>
        <w:rPr>
          <w:spacing w:val="21"/>
        </w:rPr>
        <w:t xml:space="preserve"> </w:t>
      </w:r>
      <w:r>
        <w:t>alcanzó</w:t>
      </w:r>
      <w:r>
        <w:rPr>
          <w:spacing w:val="18"/>
        </w:rPr>
        <w:t xml:space="preserve"> </w:t>
      </w:r>
      <w:r>
        <w:t>un</w:t>
      </w:r>
      <w:r>
        <w:rPr>
          <w:spacing w:val="20"/>
        </w:rPr>
        <w:t xml:space="preserve"> </w:t>
      </w:r>
      <w:r>
        <w:t>cumplimiento</w:t>
      </w:r>
      <w:r>
        <w:rPr>
          <w:spacing w:val="21"/>
        </w:rPr>
        <w:t xml:space="preserve"> </w:t>
      </w:r>
      <w:r>
        <w:t>del</w:t>
      </w:r>
      <w:r>
        <w:rPr>
          <w:spacing w:val="20"/>
        </w:rPr>
        <w:t xml:space="preserve"> </w:t>
      </w:r>
      <w:r>
        <w:t>135%,</w:t>
      </w:r>
      <w:r>
        <w:rPr>
          <w:spacing w:val="20"/>
        </w:rPr>
        <w:t xml:space="preserve"> </w:t>
      </w:r>
      <w:r>
        <w:t>cerrando</w:t>
      </w:r>
      <w:r>
        <w:rPr>
          <w:spacing w:val="21"/>
        </w:rPr>
        <w:t xml:space="preserve"> </w:t>
      </w:r>
      <w:r>
        <w:t>la</w:t>
      </w:r>
      <w:r>
        <w:rPr>
          <w:spacing w:val="21"/>
        </w:rPr>
        <w:t xml:space="preserve"> </w:t>
      </w:r>
      <w:r>
        <w:t>vigencia</w:t>
      </w:r>
      <w:r>
        <w:rPr>
          <w:spacing w:val="21"/>
        </w:rPr>
        <w:t xml:space="preserve"> </w:t>
      </w:r>
      <w:r>
        <w:rPr>
          <w:spacing w:val="-5"/>
        </w:rPr>
        <w:t>en</w:t>
      </w:r>
    </w:p>
    <w:p w14:paraId="47256A8D" w14:textId="77777777" w:rsidR="00FE01D8" w:rsidRDefault="00000000" w:rsidP="0007000E">
      <w:pPr>
        <w:pStyle w:val="Textoindependiente"/>
      </w:pPr>
      <w:r>
        <w:rPr>
          <w:spacing w:val="-2"/>
        </w:rPr>
        <w:t>$16.473.</w:t>
      </w:r>
    </w:p>
    <w:p w14:paraId="017579EB" w14:textId="77777777" w:rsidR="00FE01D8" w:rsidRDefault="00FE01D8" w:rsidP="0007000E">
      <w:pPr>
        <w:pStyle w:val="Textoindependiente"/>
        <w:spacing w:before="252"/>
        <w:ind w:left="0"/>
      </w:pPr>
    </w:p>
    <w:p w14:paraId="50F09A80" w14:textId="0F1AAF9A" w:rsidR="00FE01D8" w:rsidRDefault="00000000" w:rsidP="0007000E">
      <w:pPr>
        <w:pStyle w:val="Textoindependiente"/>
        <w:ind w:right="252"/>
        <w:jc w:val="both"/>
      </w:pPr>
      <w:r>
        <w:t>En línea con este desempeño, el margen operacional presentó una mejora significativa, pasando de 21,04% a 24,26%, lo que representa un incremento de 3,22 puntos porcentuales. Este comportamiento refleja una gestión más eficiente de los gastos</w:t>
      </w:r>
      <w:r w:rsidR="0007000E">
        <w:t xml:space="preserve"> </w:t>
      </w:r>
      <w:r>
        <w:t>operacionales en relación con los ingresos, permitiendo generar una mayor utilidad operativa por cada peso vendido.</w:t>
      </w:r>
    </w:p>
    <w:p w14:paraId="3963FBFD" w14:textId="77777777" w:rsidR="00FE01D8" w:rsidRDefault="00FE01D8" w:rsidP="0007000E">
      <w:pPr>
        <w:pStyle w:val="Textoindependiente"/>
        <w:spacing w:before="128"/>
        <w:ind w:left="0"/>
      </w:pPr>
    </w:p>
    <w:p w14:paraId="291C6FC7" w14:textId="68CC5BE2" w:rsidR="00FE01D8" w:rsidRDefault="00000000" w:rsidP="0007000E">
      <w:pPr>
        <w:pStyle w:val="Textoindependiente"/>
        <w:ind w:right="260"/>
        <w:jc w:val="both"/>
      </w:pPr>
      <w:r>
        <w:t>Sobre el resultado alcanzado, la organización registró un impuesto de renta del 41%, conforme a la normatividad tributaria vigente.</w:t>
      </w:r>
      <w:r w:rsidR="0007000E">
        <w:t xml:space="preserve"> </w:t>
      </w:r>
      <w:r>
        <w:t>Adicionalmente, la eficiencia operativa se ubicó en 75%, mejorando frente a la estimación presupuestada del 81%, lo que evidencia una ejecución disciplinada del gasto, una estructura</w:t>
      </w:r>
      <w:r>
        <w:rPr>
          <w:spacing w:val="-8"/>
        </w:rPr>
        <w:t xml:space="preserve"> </w:t>
      </w:r>
      <w:r>
        <w:t>operativa</w:t>
      </w:r>
      <w:r>
        <w:rPr>
          <w:spacing w:val="-9"/>
        </w:rPr>
        <w:t xml:space="preserve"> </w:t>
      </w:r>
      <w:r>
        <w:t>más</w:t>
      </w:r>
      <w:r>
        <w:rPr>
          <w:spacing w:val="-9"/>
        </w:rPr>
        <w:t xml:space="preserve"> </w:t>
      </w:r>
      <w:r>
        <w:t>optimizada</w:t>
      </w:r>
      <w:r>
        <w:rPr>
          <w:spacing w:val="-9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un</w:t>
      </w:r>
      <w:r>
        <w:rPr>
          <w:spacing w:val="-9"/>
        </w:rPr>
        <w:t xml:space="preserve"> </w:t>
      </w:r>
      <w:r>
        <w:t>fortalecimiento</w:t>
      </w:r>
      <w:r>
        <w:rPr>
          <w:spacing w:val="-6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modelo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gestión</w:t>
      </w:r>
      <w:r>
        <w:rPr>
          <w:spacing w:val="-7"/>
        </w:rPr>
        <w:t xml:space="preserve"> </w:t>
      </w:r>
      <w:r>
        <w:t>orientado</w:t>
      </w:r>
      <w:r>
        <w:rPr>
          <w:spacing w:val="-11"/>
        </w:rPr>
        <w:t xml:space="preserve"> </w:t>
      </w:r>
      <w:r>
        <w:t>a la sostenibilidad y creación de valor en el mediano y largo plazo.</w:t>
      </w:r>
    </w:p>
    <w:p w14:paraId="42F8FBC3" w14:textId="77777777" w:rsidR="00FE01D8" w:rsidRDefault="00FE01D8" w:rsidP="0007000E">
      <w:pPr>
        <w:pStyle w:val="Textoindependiente"/>
        <w:spacing w:before="125"/>
        <w:ind w:left="0"/>
      </w:pPr>
    </w:p>
    <w:p w14:paraId="64DF32D7" w14:textId="77777777" w:rsidR="00FE01D8" w:rsidRDefault="00000000" w:rsidP="0007000E">
      <w:pPr>
        <w:pStyle w:val="Textoindependiente"/>
        <w:ind w:right="255"/>
        <w:jc w:val="both"/>
      </w:pPr>
      <w:r>
        <w:t>La</w:t>
      </w:r>
      <w:r>
        <w:rPr>
          <w:spacing w:val="-2"/>
        </w:rPr>
        <w:t xml:space="preserve"> </w:t>
      </w:r>
      <w:r>
        <w:t>utilidad</w:t>
      </w:r>
      <w:r>
        <w:rPr>
          <w:spacing w:val="-2"/>
        </w:rPr>
        <w:t xml:space="preserve"> </w:t>
      </w:r>
      <w:r>
        <w:t>neta</w:t>
      </w:r>
      <w:r>
        <w:rPr>
          <w:spacing w:val="-2"/>
        </w:rPr>
        <w:t xml:space="preserve"> </w:t>
      </w:r>
      <w:r>
        <w:t>alcanzó</w:t>
      </w:r>
      <w:r>
        <w:rPr>
          <w:spacing w:val="-4"/>
        </w:rPr>
        <w:t xml:space="preserve"> </w:t>
      </w:r>
      <w:r>
        <w:t>un</w:t>
      </w:r>
      <w:r>
        <w:rPr>
          <w:spacing w:val="-2"/>
        </w:rPr>
        <w:t xml:space="preserve"> </w:t>
      </w:r>
      <w:r>
        <w:t>cumplimiento</w:t>
      </w:r>
      <w:r>
        <w:rPr>
          <w:spacing w:val="-4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132%, cerrando</w:t>
      </w:r>
      <w:r>
        <w:rPr>
          <w:spacing w:val="-4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ejercicio</w:t>
      </w:r>
      <w:r>
        <w:rPr>
          <w:spacing w:val="-4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$ 9.745,</w:t>
      </w:r>
      <w:r>
        <w:rPr>
          <w:spacing w:val="-3"/>
        </w:rPr>
        <w:t xml:space="preserve"> </w:t>
      </w:r>
      <w:r>
        <w:t>frente a un presupuesto aprobado de $7.402, lo que refleja una gestión eficiente de los ingresos y un adecuado control de los gastos.</w:t>
      </w:r>
    </w:p>
    <w:p w14:paraId="61AE5B7D" w14:textId="77777777" w:rsidR="00FE01D8" w:rsidRDefault="00FE01D8" w:rsidP="0007000E">
      <w:pPr>
        <w:pStyle w:val="Textoindependiente"/>
        <w:spacing w:before="128"/>
        <w:ind w:left="0"/>
      </w:pPr>
    </w:p>
    <w:p w14:paraId="78F8AE23" w14:textId="77777777" w:rsidR="00FE01D8" w:rsidRDefault="00000000" w:rsidP="0007000E">
      <w:pPr>
        <w:pStyle w:val="Textoindependiente"/>
        <w:ind w:right="256"/>
        <w:jc w:val="both"/>
      </w:pPr>
      <w:r>
        <w:t>Los ingresos acumulados de la vigencia ascendieron a $ 66.024, con un cumplimiento del 104% frente al presupuesto de $ 63.582. En comparación con la ejecución de la vigencia 2024,</w:t>
      </w:r>
      <w:r>
        <w:rPr>
          <w:spacing w:val="-1"/>
        </w:rPr>
        <w:t xml:space="preserve"> </w:t>
      </w:r>
      <w:r>
        <w:t>los ingresos</w:t>
      </w:r>
      <w:r>
        <w:rPr>
          <w:spacing w:val="-3"/>
        </w:rPr>
        <w:t xml:space="preserve"> </w:t>
      </w:r>
      <w:r>
        <w:t>crecieron en</w:t>
      </w:r>
      <w:r>
        <w:rPr>
          <w:spacing w:val="-3"/>
        </w:rPr>
        <w:t xml:space="preserve"> </w:t>
      </w:r>
      <w:r>
        <w:t>$ 8.611,</w:t>
      </w:r>
      <w:r>
        <w:rPr>
          <w:spacing w:val="-1"/>
        </w:rPr>
        <w:t xml:space="preserve"> </w:t>
      </w:r>
      <w:r>
        <w:t>lo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representa</w:t>
      </w:r>
      <w:r>
        <w:rPr>
          <w:spacing w:val="-3"/>
        </w:rPr>
        <w:t xml:space="preserve"> </w:t>
      </w:r>
      <w:r>
        <w:t>una</w:t>
      </w:r>
      <w:r>
        <w:rPr>
          <w:spacing w:val="-3"/>
        </w:rPr>
        <w:t xml:space="preserve"> </w:t>
      </w:r>
      <w:r>
        <w:t>variación</w:t>
      </w:r>
      <w:r>
        <w:rPr>
          <w:spacing w:val="-1"/>
        </w:rPr>
        <w:t xml:space="preserve"> </w:t>
      </w:r>
      <w:r>
        <w:t>anual</w:t>
      </w:r>
      <w:r>
        <w:rPr>
          <w:spacing w:val="-2"/>
        </w:rPr>
        <w:t xml:space="preserve"> </w:t>
      </w:r>
      <w:r>
        <w:t>positiva</w:t>
      </w:r>
      <w:r>
        <w:rPr>
          <w:spacing w:val="-3"/>
        </w:rPr>
        <w:t xml:space="preserve"> </w:t>
      </w:r>
      <w:r>
        <w:t>del 15%, ratificando una senda de crecimiento sostenible.</w:t>
      </w:r>
    </w:p>
    <w:p w14:paraId="773D6BD9" w14:textId="77777777" w:rsidR="00FE01D8" w:rsidRDefault="00FE01D8" w:rsidP="0007000E">
      <w:pPr>
        <w:pStyle w:val="Textoindependiente"/>
        <w:spacing w:before="125"/>
        <w:ind w:left="0"/>
      </w:pPr>
    </w:p>
    <w:p w14:paraId="0A5F5CD8" w14:textId="77777777" w:rsidR="00FE01D8" w:rsidRDefault="00000000" w:rsidP="0007000E">
      <w:pPr>
        <w:pStyle w:val="Textoindependiente"/>
        <w:ind w:right="254"/>
        <w:jc w:val="both"/>
      </w:pPr>
      <w:r>
        <w:t>Las</w:t>
      </w:r>
      <w:r>
        <w:rPr>
          <w:spacing w:val="-10"/>
        </w:rPr>
        <w:t xml:space="preserve"> </w:t>
      </w:r>
      <w:r>
        <w:t>principales</w:t>
      </w:r>
      <w:r>
        <w:rPr>
          <w:spacing w:val="-10"/>
        </w:rPr>
        <w:t xml:space="preserve"> </w:t>
      </w:r>
      <w:r>
        <w:t>fuentes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ingresos</w:t>
      </w:r>
      <w:r>
        <w:rPr>
          <w:spacing w:val="-9"/>
        </w:rPr>
        <w:t xml:space="preserve"> </w:t>
      </w:r>
      <w:r>
        <w:t>son</w:t>
      </w:r>
      <w:r>
        <w:rPr>
          <w:spacing w:val="-10"/>
        </w:rPr>
        <w:t xml:space="preserve"> </w:t>
      </w:r>
      <w:r>
        <w:t>los</w:t>
      </w:r>
      <w:r>
        <w:rPr>
          <w:spacing w:val="-10"/>
        </w:rPr>
        <w:t xml:space="preserve"> </w:t>
      </w:r>
      <w:r>
        <w:t>Fondos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Inversión</w:t>
      </w:r>
      <w:r>
        <w:rPr>
          <w:spacing w:val="-10"/>
        </w:rPr>
        <w:t xml:space="preserve"> </w:t>
      </w:r>
      <w:r>
        <w:t>Colectiva</w:t>
      </w:r>
      <w:r>
        <w:rPr>
          <w:spacing w:val="-12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ascendieron a $15.762, alcanzando un cumplimiento del 131% frente a un presupuesto de $ 12.053.</w:t>
      </w:r>
    </w:p>
    <w:p w14:paraId="07798B6F" w14:textId="77777777" w:rsidR="00FE01D8" w:rsidRDefault="00FE01D8" w:rsidP="0007000E">
      <w:pPr>
        <w:pStyle w:val="Textoindependiente"/>
        <w:spacing w:before="123"/>
        <w:ind w:left="0"/>
      </w:pPr>
    </w:p>
    <w:p w14:paraId="5CE6E74E" w14:textId="77777777" w:rsidR="00FE01D8" w:rsidRDefault="00000000" w:rsidP="0007000E">
      <w:pPr>
        <w:pStyle w:val="Textoindependiente"/>
        <w:ind w:right="254"/>
        <w:jc w:val="both"/>
      </w:pPr>
      <w:r>
        <w:t>Al cierre del 31 de diciembre de 2025, Fiducoldex administró más de $2 billones de pesos en</w:t>
      </w:r>
      <w:r>
        <w:rPr>
          <w:spacing w:val="-5"/>
        </w:rPr>
        <w:t xml:space="preserve"> </w:t>
      </w:r>
      <w:r>
        <w:t>activos</w:t>
      </w:r>
      <w:r>
        <w:rPr>
          <w:spacing w:val="-7"/>
        </w:rPr>
        <w:t xml:space="preserve"> </w:t>
      </w:r>
      <w:r>
        <w:t>bajo</w:t>
      </w:r>
      <w:r>
        <w:rPr>
          <w:spacing w:val="-7"/>
        </w:rPr>
        <w:t xml:space="preserve"> </w:t>
      </w:r>
      <w:r>
        <w:t>gestión,</w:t>
      </w:r>
      <w:r>
        <w:rPr>
          <w:spacing w:val="-8"/>
        </w:rPr>
        <w:t xml:space="preserve"> </w:t>
      </w:r>
      <w:r>
        <w:t>consolidando</w:t>
      </w:r>
      <w:r>
        <w:rPr>
          <w:spacing w:val="-5"/>
        </w:rPr>
        <w:t xml:space="preserve"> </w:t>
      </w:r>
      <w:r>
        <w:t>esta</w:t>
      </w:r>
      <w:r>
        <w:rPr>
          <w:spacing w:val="-7"/>
        </w:rPr>
        <w:t xml:space="preserve"> </w:t>
      </w:r>
      <w:r>
        <w:t>línea</w:t>
      </w:r>
      <w:r>
        <w:rPr>
          <w:spacing w:val="-7"/>
        </w:rPr>
        <w:t xml:space="preserve"> </w:t>
      </w:r>
      <w:r>
        <w:t>como</w:t>
      </w:r>
      <w:r>
        <w:rPr>
          <w:spacing w:val="-7"/>
        </w:rPr>
        <w:t xml:space="preserve"> </w:t>
      </w:r>
      <w:r>
        <w:t>un</w:t>
      </w:r>
      <w:r>
        <w:rPr>
          <w:spacing w:val="-8"/>
        </w:rPr>
        <w:t xml:space="preserve"> </w:t>
      </w:r>
      <w:r>
        <w:t>eje</w:t>
      </w:r>
      <w:r>
        <w:rPr>
          <w:spacing w:val="-7"/>
        </w:rPr>
        <w:t xml:space="preserve"> </w:t>
      </w:r>
      <w:r>
        <w:t>estratégico</w:t>
      </w:r>
      <w:r>
        <w:rPr>
          <w:spacing w:val="-10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diversificación. La participación de los FIC en los ingresos totales pasó del 15% en 2024</w:t>
      </w:r>
      <w:r>
        <w:rPr>
          <w:spacing w:val="-2"/>
        </w:rPr>
        <w:t xml:space="preserve"> </w:t>
      </w:r>
      <w:r>
        <w:t>al 24% en 2025, evidenciando un cambio estructural en la composición del ingreso de la Fiduciaria.</w:t>
      </w:r>
    </w:p>
    <w:p w14:paraId="21448E34" w14:textId="77777777" w:rsidR="00FE01D8" w:rsidRDefault="00FE01D8" w:rsidP="0007000E">
      <w:pPr>
        <w:pStyle w:val="Textoindependiente"/>
        <w:spacing w:before="126"/>
        <w:ind w:left="0"/>
      </w:pPr>
    </w:p>
    <w:p w14:paraId="7BF223CC" w14:textId="77777777" w:rsidR="0007000E" w:rsidRDefault="0007000E" w:rsidP="0007000E">
      <w:pPr>
        <w:pStyle w:val="Textoindependiente"/>
        <w:spacing w:before="126"/>
        <w:ind w:left="0"/>
      </w:pPr>
    </w:p>
    <w:p w14:paraId="253C9757" w14:textId="77777777" w:rsidR="0007000E" w:rsidRDefault="0007000E" w:rsidP="0007000E">
      <w:pPr>
        <w:pStyle w:val="Textoindependiente"/>
        <w:spacing w:before="126"/>
        <w:ind w:left="0"/>
      </w:pPr>
    </w:p>
    <w:p w14:paraId="5E1025D3" w14:textId="77777777" w:rsidR="00FE01D8" w:rsidRDefault="00000000" w:rsidP="0007000E">
      <w:pPr>
        <w:pStyle w:val="Ttulo1"/>
        <w:ind w:right="0"/>
      </w:pPr>
      <w:r>
        <w:t>2.</w:t>
      </w:r>
      <w:r>
        <w:rPr>
          <w:spacing w:val="-3"/>
        </w:rPr>
        <w:t xml:space="preserve"> </w:t>
      </w:r>
      <w:r>
        <w:t>Negocios</w:t>
      </w:r>
      <w:r>
        <w:rPr>
          <w:spacing w:val="-5"/>
        </w:rPr>
        <w:t xml:space="preserve"> </w:t>
      </w:r>
      <w:r>
        <w:rPr>
          <w:spacing w:val="-2"/>
        </w:rPr>
        <w:t>Fiduciarios</w:t>
      </w:r>
    </w:p>
    <w:p w14:paraId="6A312502" w14:textId="77777777" w:rsidR="0007000E" w:rsidRDefault="0007000E" w:rsidP="0007000E">
      <w:pPr>
        <w:pStyle w:val="Textoindependiente"/>
        <w:spacing w:before="126"/>
        <w:ind w:right="255"/>
        <w:jc w:val="both"/>
      </w:pPr>
    </w:p>
    <w:p w14:paraId="2C87EDB0" w14:textId="2086B096" w:rsidR="00FE01D8" w:rsidRDefault="00000000" w:rsidP="0007000E">
      <w:pPr>
        <w:pStyle w:val="Textoindependiente"/>
        <w:spacing w:before="126"/>
        <w:ind w:right="255"/>
        <w:jc w:val="both"/>
      </w:pPr>
      <w:r>
        <w:t>La línea de Negocios Fiduciarios generó ingresos por $ 42.826, con un cumplimiento del 93% frente al presupuesto.</w:t>
      </w:r>
    </w:p>
    <w:p w14:paraId="2B680E51" w14:textId="77777777" w:rsidR="0007000E" w:rsidRDefault="0007000E" w:rsidP="0007000E">
      <w:pPr>
        <w:pStyle w:val="Textoindependiente"/>
        <w:spacing w:before="83"/>
        <w:ind w:right="255"/>
        <w:jc w:val="both"/>
      </w:pPr>
    </w:p>
    <w:p w14:paraId="6E5610AE" w14:textId="7A65B89B" w:rsidR="00FE01D8" w:rsidRDefault="00000000" w:rsidP="0007000E">
      <w:pPr>
        <w:pStyle w:val="Textoindependiente"/>
        <w:spacing w:before="83"/>
        <w:ind w:right="255"/>
        <w:jc w:val="both"/>
      </w:pPr>
      <w:r>
        <w:t>Se destaca la gestión de negocios Empresariales, que aportaron $ 26.603, reflejando la experiencia y capacidad técnica de Fiducoldex en la administración de negocios empresariales</w:t>
      </w:r>
      <w:r>
        <w:rPr>
          <w:spacing w:val="-6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estratégicos</w:t>
      </w:r>
      <w:r>
        <w:rPr>
          <w:spacing w:val="-6"/>
        </w:rPr>
        <w:t xml:space="preserve"> </w:t>
      </w:r>
      <w:r>
        <w:t>como</w:t>
      </w:r>
      <w:r>
        <w:rPr>
          <w:spacing w:val="-6"/>
        </w:rPr>
        <w:t xml:space="preserve"> </w:t>
      </w:r>
      <w:r>
        <w:t>FONTUR,</w:t>
      </w:r>
      <w:r>
        <w:rPr>
          <w:spacing w:val="-7"/>
        </w:rPr>
        <w:t xml:space="preserve"> </w:t>
      </w:r>
      <w:proofErr w:type="spellStart"/>
      <w:r>
        <w:t>iNNpulsa</w:t>
      </w:r>
      <w:proofErr w:type="spellEnd"/>
      <w:r>
        <w:rPr>
          <w:spacing w:val="-6"/>
        </w:rPr>
        <w:t xml:space="preserve"> </w:t>
      </w:r>
      <w:r>
        <w:t>Colombia,</w:t>
      </w:r>
      <w:r>
        <w:rPr>
          <w:spacing w:val="-5"/>
        </w:rPr>
        <w:t xml:space="preserve"> </w:t>
      </w:r>
      <w:r>
        <w:t>ProColombia</w:t>
      </w:r>
      <w:r>
        <w:rPr>
          <w:spacing w:val="-6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 xml:space="preserve">Fondo </w:t>
      </w:r>
      <w:r>
        <w:rPr>
          <w:spacing w:val="-2"/>
        </w:rPr>
        <w:t>Mujer.</w:t>
      </w:r>
    </w:p>
    <w:p w14:paraId="76CAC67D" w14:textId="77777777" w:rsidR="00FE01D8" w:rsidRDefault="00FE01D8" w:rsidP="0007000E">
      <w:pPr>
        <w:pStyle w:val="Textoindependiente"/>
        <w:spacing w:before="128"/>
        <w:ind w:left="0"/>
      </w:pPr>
    </w:p>
    <w:p w14:paraId="5C2D9D2C" w14:textId="77777777" w:rsidR="00FE01D8" w:rsidRDefault="00000000" w:rsidP="0007000E">
      <w:pPr>
        <w:pStyle w:val="Textoindependiente"/>
        <w:ind w:right="258"/>
        <w:jc w:val="both"/>
      </w:pPr>
      <w:r>
        <w:t>Adicionalmente,</w:t>
      </w:r>
      <w:r>
        <w:rPr>
          <w:spacing w:val="-9"/>
        </w:rPr>
        <w:t xml:space="preserve"> </w:t>
      </w:r>
      <w:r>
        <w:t>se</w:t>
      </w:r>
      <w:r>
        <w:rPr>
          <w:spacing w:val="-12"/>
        </w:rPr>
        <w:t xml:space="preserve"> </w:t>
      </w:r>
      <w:r>
        <w:t>resalta</w:t>
      </w:r>
      <w:r>
        <w:rPr>
          <w:spacing w:val="-10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>crecimiento</w:t>
      </w:r>
      <w:r>
        <w:rPr>
          <w:spacing w:val="-10"/>
        </w:rPr>
        <w:t xml:space="preserve"> </w:t>
      </w:r>
      <w:r>
        <w:t>en</w:t>
      </w:r>
      <w:r>
        <w:rPr>
          <w:spacing w:val="-13"/>
        </w:rPr>
        <w:t xml:space="preserve"> </w:t>
      </w:r>
      <w:r>
        <w:t>negocios</w:t>
      </w:r>
      <w:r>
        <w:rPr>
          <w:spacing w:val="-10"/>
        </w:rPr>
        <w:t xml:space="preserve"> </w:t>
      </w:r>
      <w:r>
        <w:t>públicos</w:t>
      </w:r>
      <w:r>
        <w:rPr>
          <w:spacing w:val="-10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privados,</w:t>
      </w:r>
      <w:r>
        <w:rPr>
          <w:spacing w:val="-14"/>
        </w:rPr>
        <w:t xml:space="preserve"> </w:t>
      </w:r>
      <w:r>
        <w:t>con</w:t>
      </w:r>
      <w:r>
        <w:rPr>
          <w:spacing w:val="-10"/>
        </w:rPr>
        <w:t xml:space="preserve"> </w:t>
      </w:r>
      <w:r>
        <w:t xml:space="preserve">incrementos significativos en fiducia estructurada, particularmente en proyectos asociados a Findeter, hospitales, </w:t>
      </w:r>
      <w:proofErr w:type="spellStart"/>
      <w:r>
        <w:t>CoCrea</w:t>
      </w:r>
      <w:proofErr w:type="spellEnd"/>
      <w:r>
        <w:t xml:space="preserve"> y Obras por Impuestos, entre otros.</w:t>
      </w:r>
    </w:p>
    <w:p w14:paraId="5CF39340" w14:textId="77777777" w:rsidR="00FE01D8" w:rsidRDefault="00FE01D8" w:rsidP="0007000E">
      <w:pPr>
        <w:pStyle w:val="Textoindependiente"/>
        <w:spacing w:before="126"/>
        <w:ind w:left="0"/>
      </w:pPr>
    </w:p>
    <w:p w14:paraId="42C59BE6" w14:textId="7F8E82B8" w:rsidR="00FE01D8" w:rsidRDefault="00000000" w:rsidP="0007000E">
      <w:pPr>
        <w:pStyle w:val="Textoindependiente"/>
        <w:ind w:right="256"/>
        <w:jc w:val="both"/>
      </w:pPr>
      <w:r>
        <w:t>Respecto a los ingresos por consorcios alcanzaron $3.308, con un sobresaliente cumplimiento del 238% frente al presupuesto.</w:t>
      </w:r>
      <w:r w:rsidR="0007000E">
        <w:t xml:space="preserve"> </w:t>
      </w:r>
      <w:r>
        <w:t>En esta línea se destacan ingresos provenientes de consorcios como Fondo Colombia en Paz, Pensiones Cundinamarca y PAC FONPET, entre otros.</w:t>
      </w:r>
    </w:p>
    <w:p w14:paraId="31FA9BD3" w14:textId="77777777" w:rsidR="00FE01D8" w:rsidRDefault="00FE01D8" w:rsidP="0007000E">
      <w:pPr>
        <w:pStyle w:val="Textoindependiente"/>
        <w:spacing w:before="127"/>
        <w:ind w:left="0"/>
      </w:pPr>
    </w:p>
    <w:p w14:paraId="7638BC40" w14:textId="77777777" w:rsidR="00FE01D8" w:rsidRDefault="00000000" w:rsidP="0007000E">
      <w:pPr>
        <w:pStyle w:val="Textoindependiente"/>
        <w:ind w:right="256"/>
        <w:jc w:val="both"/>
      </w:pPr>
      <w:r>
        <w:t>EL Portafolio de Recursos Propios representó aproximadamente el 5% de los ingresos totales, generando $3.261, como resultado de una gestión estratégica y eficiente en el mercado financiero.</w:t>
      </w:r>
    </w:p>
    <w:p w14:paraId="799AD1D7" w14:textId="77777777" w:rsidR="00FE01D8" w:rsidRDefault="00FE01D8" w:rsidP="0007000E">
      <w:pPr>
        <w:pStyle w:val="Textoindependiente"/>
        <w:spacing w:before="126"/>
        <w:ind w:left="0"/>
      </w:pPr>
    </w:p>
    <w:p w14:paraId="43712934" w14:textId="77777777" w:rsidR="00FE01D8" w:rsidRDefault="00000000" w:rsidP="0007000E">
      <w:pPr>
        <w:pStyle w:val="Textoindependiente"/>
        <w:ind w:right="258"/>
        <w:jc w:val="both"/>
      </w:pPr>
      <w:r>
        <w:t>En Otros Ingresos Se registraron $ 865 en otros ingresos, derivados principalmente de la gestión administrativa asociada al manejo de determinados negocios.</w:t>
      </w:r>
    </w:p>
    <w:p w14:paraId="674692B8" w14:textId="77777777" w:rsidR="00FE01D8" w:rsidRDefault="00FE01D8" w:rsidP="0007000E">
      <w:pPr>
        <w:pStyle w:val="Textoindependiente"/>
        <w:spacing w:before="126"/>
        <w:ind w:left="0"/>
      </w:pPr>
    </w:p>
    <w:p w14:paraId="19778D17" w14:textId="77777777" w:rsidR="00FE01D8" w:rsidRDefault="00000000" w:rsidP="0007000E">
      <w:pPr>
        <w:pStyle w:val="Textoindependiente"/>
        <w:ind w:right="258"/>
        <w:jc w:val="both"/>
      </w:pPr>
      <w:r>
        <w:t>En conjunto, el comportamiento de las distintas líneas de ingreso evidencia una evolución positiva</w:t>
      </w:r>
      <w:r>
        <w:rPr>
          <w:spacing w:val="-14"/>
        </w:rPr>
        <w:t xml:space="preserve"> </w:t>
      </w:r>
      <w:r>
        <w:t>en</w:t>
      </w:r>
      <w:r>
        <w:rPr>
          <w:spacing w:val="-14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estructura</w:t>
      </w:r>
      <w:r>
        <w:rPr>
          <w:spacing w:val="-16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generación</w:t>
      </w:r>
      <w:r>
        <w:rPr>
          <w:spacing w:val="-13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recursos</w:t>
      </w:r>
      <w:r>
        <w:rPr>
          <w:spacing w:val="-11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Fiducoldex,</w:t>
      </w:r>
      <w:r>
        <w:rPr>
          <w:spacing w:val="-16"/>
        </w:rPr>
        <w:t xml:space="preserve"> </w:t>
      </w:r>
      <w:r>
        <w:t>reflejando</w:t>
      </w:r>
      <w:r>
        <w:rPr>
          <w:spacing w:val="-11"/>
        </w:rPr>
        <w:t xml:space="preserve"> </w:t>
      </w:r>
      <w:r>
        <w:t>una</w:t>
      </w:r>
      <w:r>
        <w:rPr>
          <w:spacing w:val="-15"/>
        </w:rPr>
        <w:t xml:space="preserve"> </w:t>
      </w:r>
      <w:r>
        <w:t>estrategia orientada a la diversificación y a la reducción de la concentración del ingreso.</w:t>
      </w:r>
    </w:p>
    <w:p w14:paraId="59BB5442" w14:textId="77777777" w:rsidR="0007000E" w:rsidRDefault="0007000E" w:rsidP="0007000E">
      <w:pPr>
        <w:pStyle w:val="Textoindependiente"/>
        <w:ind w:right="258"/>
        <w:jc w:val="both"/>
      </w:pPr>
    </w:p>
    <w:p w14:paraId="1A6C6295" w14:textId="77777777" w:rsidR="00FE01D8" w:rsidRDefault="00000000" w:rsidP="0007000E">
      <w:pPr>
        <w:pStyle w:val="Textoindependiente"/>
        <w:spacing w:before="1"/>
        <w:ind w:right="255"/>
        <w:jc w:val="both"/>
      </w:pPr>
      <w:r>
        <w:t xml:space="preserve">Mientras que en la vigencia 2024 la fiducia estructurada concentraba aproximadamente el 75% de los ingresos totales, para la vigencia 2025 esta participación se reduce al 65%, como resultado del crecimiento sostenido de los Fondos de Inversión Colectiva y de los </w:t>
      </w:r>
      <w:r>
        <w:rPr>
          <w:spacing w:val="-2"/>
        </w:rPr>
        <w:t>consorcios.</w:t>
      </w:r>
    </w:p>
    <w:p w14:paraId="4438EB30" w14:textId="77777777" w:rsidR="0007000E" w:rsidRDefault="0007000E" w:rsidP="0007000E">
      <w:pPr>
        <w:pStyle w:val="Textoindependiente"/>
        <w:ind w:right="255"/>
        <w:jc w:val="both"/>
      </w:pPr>
    </w:p>
    <w:p w14:paraId="4B0E9C96" w14:textId="029C60C4" w:rsidR="00FE01D8" w:rsidRDefault="00000000" w:rsidP="0007000E">
      <w:pPr>
        <w:pStyle w:val="Textoindependiente"/>
        <w:ind w:right="255"/>
        <w:jc w:val="both"/>
      </w:pPr>
      <w:r>
        <w:t>Este cambio en la composición del ingreso fortalece la estabilidad financiera de la Fiduciaria,</w:t>
      </w:r>
      <w:r>
        <w:rPr>
          <w:spacing w:val="-6"/>
        </w:rPr>
        <w:t xml:space="preserve"> </w:t>
      </w:r>
      <w:r>
        <w:t>mejora</w:t>
      </w:r>
      <w:r>
        <w:rPr>
          <w:spacing w:val="-7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distribución</w:t>
      </w:r>
      <w:r>
        <w:rPr>
          <w:spacing w:val="-5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riesgo</w:t>
      </w:r>
      <w:r>
        <w:rPr>
          <w:spacing w:val="-7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contribuye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una</w:t>
      </w:r>
      <w:r>
        <w:rPr>
          <w:spacing w:val="-7"/>
        </w:rPr>
        <w:t xml:space="preserve"> </w:t>
      </w:r>
      <w:r>
        <w:t>mayor</w:t>
      </w:r>
      <w:r>
        <w:rPr>
          <w:spacing w:val="-6"/>
        </w:rPr>
        <w:t xml:space="preserve"> </w:t>
      </w:r>
      <w:r>
        <w:t>resiliencia</w:t>
      </w:r>
      <w:r>
        <w:rPr>
          <w:spacing w:val="-5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modelo de negocio, alineada con las mejores prácticas del sector fiduciario y con una visión de crecimiento sostenible en el mediano y largo plazo.</w:t>
      </w:r>
    </w:p>
    <w:p w14:paraId="0A99F1A6" w14:textId="77777777" w:rsidR="00FE01D8" w:rsidRDefault="00FE01D8" w:rsidP="0007000E">
      <w:pPr>
        <w:pStyle w:val="Textoindependiente"/>
        <w:jc w:val="both"/>
        <w:sectPr w:rsidR="00FE01D8">
          <w:pgSz w:w="12240" w:h="15840"/>
          <w:pgMar w:top="1820" w:right="1440" w:bottom="280" w:left="1440" w:header="454" w:footer="0" w:gutter="0"/>
          <w:cols w:space="720"/>
        </w:sectPr>
      </w:pPr>
    </w:p>
    <w:p w14:paraId="557F7E0B" w14:textId="5406476D" w:rsidR="00FE01D8" w:rsidRDefault="00000000" w:rsidP="0007000E">
      <w:pPr>
        <w:pStyle w:val="Textoindependiente"/>
        <w:spacing w:before="83"/>
        <w:ind w:right="258"/>
        <w:jc w:val="both"/>
      </w:pPr>
      <w:r>
        <w:t>En materia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gastos operacionales, Fiducoldex evidenció una gestión</w:t>
      </w:r>
      <w:r>
        <w:rPr>
          <w:spacing w:val="-1"/>
        </w:rPr>
        <w:t xml:space="preserve"> </w:t>
      </w:r>
      <w:r>
        <w:t>austera y eficiente, alineada con una estructura de transformación digital más sólida y optimizada.</w:t>
      </w:r>
      <w:r w:rsidR="0007000E">
        <w:t xml:space="preserve"> </w:t>
      </w:r>
      <w:r>
        <w:t>A</w:t>
      </w:r>
      <w:r>
        <w:rPr>
          <w:spacing w:val="-16"/>
        </w:rPr>
        <w:t xml:space="preserve"> </w:t>
      </w:r>
      <w:r>
        <w:t>pesar</w:t>
      </w:r>
      <w:r>
        <w:rPr>
          <w:spacing w:val="-12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los</w:t>
      </w:r>
      <w:r>
        <w:rPr>
          <w:spacing w:val="-13"/>
        </w:rPr>
        <w:t xml:space="preserve"> </w:t>
      </w:r>
      <w:r>
        <w:t>desafíos</w:t>
      </w:r>
      <w:r>
        <w:rPr>
          <w:spacing w:val="-16"/>
        </w:rPr>
        <w:t xml:space="preserve"> </w:t>
      </w:r>
      <w:r>
        <w:t>y</w:t>
      </w:r>
      <w:r>
        <w:rPr>
          <w:spacing w:val="-15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t>desarrollo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nuevos</w:t>
      </w:r>
      <w:r>
        <w:rPr>
          <w:spacing w:val="-16"/>
        </w:rPr>
        <w:t xml:space="preserve"> </w:t>
      </w:r>
      <w:r>
        <w:t>proyectos</w:t>
      </w:r>
      <w:r>
        <w:rPr>
          <w:spacing w:val="-13"/>
        </w:rPr>
        <w:t xml:space="preserve"> </w:t>
      </w:r>
      <w:r>
        <w:t>estratégicos,</w:t>
      </w:r>
      <w:r>
        <w:rPr>
          <w:spacing w:val="-15"/>
        </w:rPr>
        <w:t xml:space="preserve"> </w:t>
      </w:r>
      <w:r>
        <w:t>el</w:t>
      </w:r>
      <w:r>
        <w:rPr>
          <w:spacing w:val="-15"/>
        </w:rPr>
        <w:t xml:space="preserve"> </w:t>
      </w:r>
      <w:r>
        <w:t>gasto</w:t>
      </w:r>
      <w:r>
        <w:rPr>
          <w:spacing w:val="-14"/>
        </w:rPr>
        <w:t xml:space="preserve"> </w:t>
      </w:r>
      <w:r>
        <w:t>presentó un cumplimiento del 97% frente al presupuesto aprobado, generando ahorros y mayor eficiencia operativa.</w:t>
      </w:r>
    </w:p>
    <w:p w14:paraId="17133D85" w14:textId="77777777" w:rsidR="00FE01D8" w:rsidRDefault="00FE01D8" w:rsidP="0007000E">
      <w:pPr>
        <w:pStyle w:val="Textoindependiente"/>
        <w:spacing w:before="127"/>
        <w:ind w:left="0"/>
      </w:pPr>
    </w:p>
    <w:p w14:paraId="582BE2C5" w14:textId="77777777" w:rsidR="00FE01D8" w:rsidRDefault="00000000" w:rsidP="0007000E">
      <w:pPr>
        <w:pStyle w:val="Textoindependiente"/>
        <w:spacing w:before="1"/>
        <w:ind w:right="258"/>
        <w:jc w:val="both"/>
      </w:pPr>
      <w:r>
        <w:t>Como resultado del crecimiento en los ingresos y del control efectivo de los gastos, la utilidad operativa alcanzó un cumplimiento del 135%, cerrando la vigencia en $16.473.</w:t>
      </w:r>
    </w:p>
    <w:p w14:paraId="60D34C49" w14:textId="77777777" w:rsidR="0007000E" w:rsidRDefault="0007000E" w:rsidP="0007000E">
      <w:pPr>
        <w:pStyle w:val="Textoindependiente"/>
        <w:spacing w:before="1"/>
        <w:ind w:right="258"/>
        <w:jc w:val="both"/>
      </w:pPr>
    </w:p>
    <w:p w14:paraId="26A77609" w14:textId="77777777" w:rsidR="00FE01D8" w:rsidRDefault="00000000" w:rsidP="0007000E">
      <w:pPr>
        <w:pStyle w:val="Textoindependiente"/>
        <w:ind w:right="256"/>
        <w:jc w:val="both"/>
      </w:pPr>
      <w:r>
        <w:t>En línea con este desempeño, el margen operacional presentó una mejora significativa, pasando de 21,04% a 24,26%, lo que representa un incremento de 3,22 puntos porcentuales.</w:t>
      </w:r>
      <w:r>
        <w:rPr>
          <w:spacing w:val="-5"/>
        </w:rPr>
        <w:t xml:space="preserve"> </w:t>
      </w:r>
      <w:r>
        <w:t>Este</w:t>
      </w:r>
      <w:r>
        <w:rPr>
          <w:spacing w:val="-6"/>
        </w:rPr>
        <w:t xml:space="preserve"> </w:t>
      </w:r>
      <w:r>
        <w:t>comportamiento</w:t>
      </w:r>
      <w:r>
        <w:rPr>
          <w:spacing w:val="-8"/>
        </w:rPr>
        <w:t xml:space="preserve"> </w:t>
      </w:r>
      <w:r>
        <w:t>refleja</w:t>
      </w:r>
      <w:r>
        <w:rPr>
          <w:spacing w:val="-6"/>
        </w:rPr>
        <w:t xml:space="preserve"> </w:t>
      </w:r>
      <w:r>
        <w:t>una</w:t>
      </w:r>
      <w:r>
        <w:rPr>
          <w:spacing w:val="-8"/>
        </w:rPr>
        <w:t xml:space="preserve"> </w:t>
      </w:r>
      <w:r>
        <w:t>mayor</w:t>
      </w:r>
      <w:r>
        <w:rPr>
          <w:spacing w:val="-5"/>
        </w:rPr>
        <w:t xml:space="preserve"> </w:t>
      </w:r>
      <w:r>
        <w:t>eficiencia</w:t>
      </w:r>
      <w:r>
        <w:rPr>
          <w:spacing w:val="-6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gestión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>gastos operacionales en relación con los ingresos, permitiendo generar una mayor utilidad operativa por cada peso vendido.</w:t>
      </w:r>
    </w:p>
    <w:p w14:paraId="35BD5213" w14:textId="77777777" w:rsidR="0007000E" w:rsidRDefault="0007000E" w:rsidP="0007000E">
      <w:pPr>
        <w:pStyle w:val="Textoindependiente"/>
        <w:spacing w:before="1"/>
        <w:ind w:right="258"/>
        <w:jc w:val="both"/>
      </w:pPr>
    </w:p>
    <w:p w14:paraId="01680247" w14:textId="252273B3" w:rsidR="00FE01D8" w:rsidRDefault="00000000" w:rsidP="0007000E">
      <w:pPr>
        <w:pStyle w:val="Textoindependiente"/>
        <w:spacing w:before="1"/>
        <w:ind w:right="258"/>
        <w:jc w:val="both"/>
      </w:pPr>
      <w:r>
        <w:t>Sobre</w:t>
      </w:r>
      <w:r>
        <w:rPr>
          <w:spacing w:val="-4"/>
        </w:rPr>
        <w:t xml:space="preserve"> </w:t>
      </w:r>
      <w:r>
        <w:t>este</w:t>
      </w:r>
      <w:r>
        <w:rPr>
          <w:spacing w:val="-6"/>
        </w:rPr>
        <w:t xml:space="preserve"> </w:t>
      </w:r>
      <w:r>
        <w:t>resultado,</w:t>
      </w:r>
      <w:r>
        <w:rPr>
          <w:spacing w:val="-5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organización</w:t>
      </w:r>
      <w:r>
        <w:rPr>
          <w:spacing w:val="-4"/>
        </w:rPr>
        <w:t xml:space="preserve"> </w:t>
      </w:r>
      <w:r>
        <w:t>registró</w:t>
      </w:r>
      <w:r>
        <w:rPr>
          <w:spacing w:val="-4"/>
        </w:rPr>
        <w:t xml:space="preserve"> </w:t>
      </w:r>
      <w:r>
        <w:t>un</w:t>
      </w:r>
      <w:r>
        <w:rPr>
          <w:spacing w:val="-7"/>
        </w:rPr>
        <w:t xml:space="preserve"> </w:t>
      </w:r>
      <w:r>
        <w:t>impuesto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renta</w:t>
      </w:r>
      <w:r>
        <w:rPr>
          <w:spacing w:val="-6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41%,</w:t>
      </w:r>
      <w:r>
        <w:rPr>
          <w:spacing w:val="-5"/>
        </w:rPr>
        <w:t xml:space="preserve"> </w:t>
      </w:r>
      <w:r>
        <w:t>conforme</w:t>
      </w:r>
      <w:r>
        <w:rPr>
          <w:spacing w:val="-6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la normatividad tributaria vigente.</w:t>
      </w:r>
    </w:p>
    <w:p w14:paraId="0E2C0A74" w14:textId="77777777" w:rsidR="00FE01D8" w:rsidRDefault="00FE01D8" w:rsidP="0007000E">
      <w:pPr>
        <w:pStyle w:val="Textoindependiente"/>
        <w:spacing w:before="125"/>
        <w:ind w:left="0"/>
      </w:pPr>
    </w:p>
    <w:p w14:paraId="4A99C182" w14:textId="77777777" w:rsidR="00FE01D8" w:rsidRDefault="00000000" w:rsidP="0007000E">
      <w:pPr>
        <w:pStyle w:val="Textoindependiente"/>
        <w:ind w:right="258"/>
        <w:jc w:val="both"/>
      </w:pPr>
      <w:r>
        <w:t>Adicionalmente, la eficiencia operativa se ubicó en 75%, mejorando frente a la estimación presupuestada del 81%, lo cual evidencia una ejecución disciplinada del gasto y una estructura operativa más optimizada.</w:t>
      </w:r>
    </w:p>
    <w:sectPr w:rsidR="00FE01D8">
      <w:pgSz w:w="12240" w:h="15840"/>
      <w:pgMar w:top="1820" w:right="1440" w:bottom="280" w:left="1440" w:header="45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DBEFE" w14:textId="77777777" w:rsidR="003C2AAD" w:rsidRDefault="003C2AAD">
      <w:r>
        <w:separator/>
      </w:r>
    </w:p>
  </w:endnote>
  <w:endnote w:type="continuationSeparator" w:id="0">
    <w:p w14:paraId="5251976B" w14:textId="77777777" w:rsidR="003C2AAD" w:rsidRDefault="003C2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D2A59" w14:textId="77777777" w:rsidR="003C2AAD" w:rsidRDefault="003C2AAD">
      <w:r>
        <w:separator/>
      </w:r>
    </w:p>
  </w:footnote>
  <w:footnote w:type="continuationSeparator" w:id="0">
    <w:p w14:paraId="1C1AA403" w14:textId="77777777" w:rsidR="003C2AAD" w:rsidRDefault="003C2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F22F7" w14:textId="77777777" w:rsidR="00FE01D8" w:rsidRDefault="00000000">
    <w:pPr>
      <w:pStyle w:val="Textoindependiente"/>
      <w:spacing w:line="14" w:lineRule="auto"/>
      <w:ind w:left="0"/>
      <w:rPr>
        <w:sz w:val="20"/>
      </w:rPr>
    </w:pPr>
    <w:r>
      <w:rPr>
        <w:noProof/>
        <w:sz w:val="20"/>
      </w:rPr>
      <w:drawing>
        <wp:anchor distT="0" distB="0" distL="0" distR="0" simplePos="0" relativeHeight="487523328" behindDoc="1" locked="0" layoutInCell="1" allowOverlap="1" wp14:anchorId="5A0B684E" wp14:editId="02AD57A6">
          <wp:simplePos x="0" y="0"/>
          <wp:positionH relativeFrom="page">
            <wp:posOffset>4558665</wp:posOffset>
          </wp:positionH>
          <wp:positionV relativeFrom="page">
            <wp:posOffset>288290</wp:posOffset>
          </wp:positionV>
          <wp:extent cx="2133600" cy="749553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133600" cy="74955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A7FAA"/>
    <w:multiLevelType w:val="hybridMultilevel"/>
    <w:tmpl w:val="E90898DC"/>
    <w:lvl w:ilvl="0" w:tplc="A8C87174">
      <w:numFmt w:val="bullet"/>
      <w:lvlText w:val="-"/>
      <w:lvlJc w:val="left"/>
      <w:pPr>
        <w:ind w:left="622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3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7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382" w:hanging="360"/>
      </w:pPr>
      <w:rPr>
        <w:rFonts w:ascii="Wingdings" w:hAnsi="Wingdings" w:hint="default"/>
      </w:rPr>
    </w:lvl>
  </w:abstractNum>
  <w:num w:numId="1" w16cid:durableId="1909614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1D8"/>
    <w:rsid w:val="0007000E"/>
    <w:rsid w:val="001329FA"/>
    <w:rsid w:val="003C2470"/>
    <w:rsid w:val="003C2AAD"/>
    <w:rsid w:val="008262CC"/>
    <w:rsid w:val="00A43643"/>
    <w:rsid w:val="00F3765A"/>
    <w:rsid w:val="00FE0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C7D3B"/>
  <w15:docId w15:val="{88270596-0527-4655-9BE9-64990C477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262" w:right="341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262"/>
    </w:p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1514</Words>
  <Characters>8664</Characters>
  <Application>Microsoft Office Word</Application>
  <DocSecurity>0</DocSecurity>
  <Lines>184</Lines>
  <Paragraphs>55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Angie Johanna Rodríguez Sánchez</dc:creator>
  <cp:lastModifiedBy>Yasmin Alcira Rocha Pulido</cp:lastModifiedBy>
  <cp:revision>4</cp:revision>
  <dcterms:created xsi:type="dcterms:W3CDTF">2026-02-17T22:49:00Z</dcterms:created>
  <dcterms:modified xsi:type="dcterms:W3CDTF">2026-02-17T23:17:00Z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2026-02-17T00:00:00Z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2026-02-17T00:00:00Z</vt:filetime>
  </property>
  <property fmtid="{D5CDD505-2E9C-101B-9397-08002B2CF9AE}" pid="5" name="Producer">
    <vt:lpwstr>Microsoft® Word para Microsoft 365</vt:lpwstr>
  </property>
</Properties>
</file>